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0E1AC">
      <w:pPr>
        <w:widowControl/>
        <w:jc w:val="center"/>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广州市实验外语学校</w:t>
      </w:r>
    </w:p>
    <w:p w14:paraId="1A9AD1C4">
      <w:pPr>
        <w:widowControl/>
        <w:jc w:val="center"/>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2</w:t>
      </w:r>
      <w:r>
        <w:rPr>
          <w:rFonts w:ascii="宋体" w:hAnsi="宋体" w:eastAsia="宋体" w:cs="宋体"/>
          <w:b/>
          <w:bCs/>
          <w:color w:val="000000"/>
          <w:kern w:val="0"/>
          <w:sz w:val="32"/>
          <w:szCs w:val="32"/>
          <w:lang w:bidi="ar"/>
        </w:rPr>
        <w:t>026</w:t>
      </w:r>
      <w:r>
        <w:rPr>
          <w:rFonts w:hint="eastAsia" w:ascii="宋体" w:hAnsi="宋体" w:eastAsia="宋体" w:cs="宋体"/>
          <w:b/>
          <w:bCs/>
          <w:color w:val="000000"/>
          <w:kern w:val="0"/>
          <w:sz w:val="32"/>
          <w:szCs w:val="32"/>
          <w:lang w:bidi="ar"/>
        </w:rPr>
        <w:t>年度上半年小学《新思维小学英语》比选采购</w:t>
      </w:r>
      <w:r>
        <w:rPr>
          <w:rFonts w:hint="eastAsia" w:ascii="宋体" w:hAnsi="宋体" w:eastAsia="宋体" w:cs="宋体"/>
          <w:b/>
          <w:bCs/>
          <w:kern w:val="0"/>
          <w:sz w:val="32"/>
          <w:szCs w:val="32"/>
          <w:lang w:bidi="ar"/>
        </w:rPr>
        <w:t>文件</w:t>
      </w:r>
    </w:p>
    <w:p w14:paraId="72619404">
      <w:pPr>
        <w:widowControl/>
        <w:ind w:right="241"/>
        <w:jc w:val="right"/>
        <w:rPr>
          <w:sz w:val="24"/>
        </w:rPr>
      </w:pPr>
      <w:bookmarkStart w:id="6" w:name="_GoBack"/>
      <w:r>
        <w:rPr>
          <w:rFonts w:hint="eastAsia" w:ascii="新宋体" w:hAnsi="新宋体" w:eastAsia="新宋体" w:cs="新宋体"/>
          <w:kern w:val="0"/>
          <w:sz w:val="24"/>
          <w:lang w:bidi="ar"/>
        </w:rPr>
        <w:t>编号：</w:t>
      </w:r>
      <w:r>
        <w:rPr>
          <w:rFonts w:ascii="新宋体" w:hAnsi="新宋体" w:eastAsia="新宋体" w:cs="新宋体"/>
          <w:kern w:val="0"/>
          <w:sz w:val="24"/>
          <w:lang w:bidi="ar"/>
        </w:rPr>
        <w:t>GSWX 内采</w:t>
      </w:r>
      <w:r>
        <w:rPr>
          <w:rFonts w:hint="eastAsia" w:ascii="宋体" w:hAnsi="宋体" w:eastAsia="宋体" w:cs="宋体"/>
          <w:bCs/>
          <w:kern w:val="0"/>
          <w:sz w:val="24"/>
          <w:lang w:bidi="ar"/>
        </w:rPr>
        <w:t>（</w:t>
      </w:r>
      <w:r>
        <w:rPr>
          <w:rFonts w:ascii="宋体" w:hAnsi="宋体" w:eastAsia="宋体" w:cs="宋体"/>
          <w:bCs/>
          <w:kern w:val="0"/>
          <w:sz w:val="24"/>
          <w:lang w:bidi="ar"/>
        </w:rPr>
        <w:t>20</w:t>
      </w:r>
      <w:r>
        <w:rPr>
          <w:rFonts w:hint="eastAsia" w:ascii="宋体" w:hAnsi="宋体" w:eastAsia="宋体" w:cs="宋体"/>
          <w:bCs/>
          <w:kern w:val="0"/>
          <w:sz w:val="24"/>
          <w:lang w:bidi="ar"/>
        </w:rPr>
        <w:t>2</w:t>
      </w:r>
      <w:r>
        <w:rPr>
          <w:rFonts w:ascii="宋体" w:hAnsi="宋体" w:eastAsia="宋体" w:cs="宋体"/>
          <w:bCs/>
          <w:kern w:val="0"/>
          <w:sz w:val="24"/>
          <w:lang w:bidi="ar"/>
        </w:rPr>
        <w:t>5</w:t>
      </w:r>
      <w:r>
        <w:rPr>
          <w:rFonts w:hint="eastAsia" w:ascii="宋体" w:hAnsi="宋体" w:eastAsia="宋体" w:cs="宋体"/>
          <w:bCs/>
          <w:kern w:val="0"/>
          <w:sz w:val="24"/>
          <w:lang w:bidi="ar"/>
        </w:rPr>
        <w:t>-</w:t>
      </w:r>
      <w:r>
        <w:rPr>
          <w:rFonts w:ascii="宋体" w:hAnsi="宋体" w:eastAsia="宋体" w:cs="宋体"/>
          <w:bCs/>
          <w:kern w:val="0"/>
          <w:sz w:val="24"/>
          <w:lang w:bidi="ar"/>
        </w:rPr>
        <w:t>016</w:t>
      </w:r>
      <w:r>
        <w:rPr>
          <w:rFonts w:hint="eastAsia" w:ascii="宋体" w:hAnsi="宋体" w:eastAsia="宋体" w:cs="宋体"/>
          <w:bCs/>
          <w:kern w:val="0"/>
          <w:sz w:val="24"/>
          <w:lang w:bidi="ar"/>
        </w:rPr>
        <w:t>）</w:t>
      </w:r>
    </w:p>
    <w:p w14:paraId="5BC11672">
      <w:pPr>
        <w:widowControl/>
        <w:spacing w:before="156" w:beforeLines="50"/>
        <w:jc w:val="left"/>
        <w:rPr>
          <w:rFonts w:asciiTheme="minorEastAsia" w:hAnsiTheme="minorEastAsia"/>
          <w:sz w:val="24"/>
        </w:rPr>
      </w:pPr>
      <w:r>
        <w:rPr>
          <w:rFonts w:hint="eastAsia" w:cs="宋体" w:asciiTheme="minorEastAsia" w:hAnsiTheme="minorEastAsia"/>
          <w:color w:val="000000"/>
          <w:kern w:val="0"/>
          <w:sz w:val="24"/>
          <w:lang w:bidi="ar"/>
        </w:rPr>
        <w:t>公司名称：</w:t>
      </w:r>
      <w:r>
        <w:rPr>
          <w:rFonts w:hint="eastAsia" w:cs="宋体" w:asciiTheme="minorEastAsia" w:hAnsiTheme="minorEastAsia"/>
          <w:color w:val="000000"/>
          <w:kern w:val="0"/>
          <w:sz w:val="24"/>
          <w:u w:val="single"/>
          <w:lang w:bidi="ar"/>
        </w:rPr>
        <w:t xml:space="preserve">                                               </w:t>
      </w:r>
      <w:r>
        <w:rPr>
          <w:rFonts w:hint="eastAsia" w:cs="宋体" w:asciiTheme="minorEastAsia" w:hAnsiTheme="minorEastAsia"/>
          <w:i/>
          <w:iCs/>
          <w:color w:val="000000"/>
          <w:kern w:val="0"/>
          <w:sz w:val="24"/>
          <w:lang w:bidi="ar"/>
        </w:rPr>
        <w:t xml:space="preserve">（参选人填写） </w:t>
      </w:r>
    </w:p>
    <w:p w14:paraId="1B899011">
      <w:pPr>
        <w:widowControl/>
        <w:jc w:val="left"/>
        <w:rPr>
          <w:rFonts w:cs="宋体" w:asciiTheme="minorEastAsia" w:hAnsiTheme="minorEastAsia"/>
          <w:i/>
          <w:iCs/>
          <w:color w:val="000000"/>
          <w:kern w:val="0"/>
          <w:sz w:val="24"/>
          <w:lang w:bidi="ar"/>
        </w:rPr>
      </w:pPr>
      <w:r>
        <w:rPr>
          <w:rFonts w:hint="eastAsia" w:cs="宋体" w:asciiTheme="minorEastAsia" w:hAnsiTheme="minorEastAsia"/>
          <w:color w:val="000000"/>
          <w:kern w:val="0"/>
          <w:sz w:val="24"/>
          <w:lang w:bidi="ar"/>
        </w:rPr>
        <w:t>负责人签名：</w:t>
      </w:r>
      <w:r>
        <w:rPr>
          <w:rFonts w:hint="eastAsia" w:cs="宋体" w:asciiTheme="minorEastAsia" w:hAnsiTheme="minorEastAsia"/>
          <w:color w:val="000000"/>
          <w:kern w:val="0"/>
          <w:sz w:val="24"/>
          <w:u w:val="single"/>
          <w:lang w:bidi="ar"/>
        </w:rPr>
        <w:t xml:space="preserve">                                            </w:t>
      </w:r>
      <w:r>
        <w:rPr>
          <w:rFonts w:hint="eastAsia" w:cs="宋体" w:asciiTheme="minorEastAsia" w:hAnsiTheme="minorEastAsia"/>
          <w:i/>
          <w:iCs/>
          <w:color w:val="000000"/>
          <w:kern w:val="0"/>
          <w:sz w:val="24"/>
          <w:lang w:bidi="ar"/>
        </w:rPr>
        <w:t xml:space="preserve">（参选人填写） </w:t>
      </w:r>
    </w:p>
    <w:p w14:paraId="7DFAC7FA">
      <w:pPr>
        <w:spacing w:line="360" w:lineRule="auto"/>
        <w:ind w:firstLine="480" w:firstLineChars="200"/>
        <w:rPr>
          <w:rFonts w:cs="Times New Roman" w:asciiTheme="minorEastAsia" w:hAnsiTheme="minorEastAsia"/>
          <w:bCs/>
          <w:color w:val="000000"/>
          <w:sz w:val="24"/>
        </w:rPr>
      </w:pPr>
      <w:r>
        <w:rPr>
          <w:rFonts w:hint="eastAsia" w:cs="Times New Roman" w:asciiTheme="minorEastAsia" w:hAnsiTheme="minorEastAsia"/>
          <w:color w:val="000000"/>
          <w:sz w:val="24"/>
        </w:rPr>
        <w:t>感谢贵公司参与本次组织的</w:t>
      </w:r>
      <w:r>
        <w:rPr>
          <w:rFonts w:hint="eastAsia" w:cs="Times New Roman" w:asciiTheme="minorEastAsia" w:hAnsiTheme="minorEastAsia"/>
          <w:bCs/>
          <w:color w:val="000000"/>
          <w:sz w:val="24"/>
        </w:rPr>
        <w:t>广州市实验外语学校2</w:t>
      </w:r>
      <w:r>
        <w:rPr>
          <w:rFonts w:cs="Times New Roman" w:asciiTheme="minorEastAsia" w:hAnsiTheme="minorEastAsia"/>
          <w:bCs/>
          <w:color w:val="000000"/>
          <w:sz w:val="24"/>
        </w:rPr>
        <w:t>026</w:t>
      </w:r>
      <w:r>
        <w:rPr>
          <w:rFonts w:hint="eastAsia" w:cs="Times New Roman" w:asciiTheme="minorEastAsia" w:hAnsiTheme="minorEastAsia"/>
          <w:bCs/>
          <w:color w:val="000000"/>
          <w:sz w:val="24"/>
        </w:rPr>
        <w:t>年度上半年小学《新思维英语》比选采购活动。</w:t>
      </w:r>
    </w:p>
    <w:p w14:paraId="3613EC54">
      <w:pPr>
        <w:pStyle w:val="8"/>
        <w:widowControl/>
        <w:numPr>
          <w:ilvl w:val="0"/>
          <w:numId w:val="1"/>
        </w:numPr>
        <w:shd w:val="clear" w:color="auto" w:fill="FFFFFF"/>
        <w:spacing w:line="360" w:lineRule="auto"/>
        <w:ind w:right="-340" w:rightChars="-162" w:firstLineChars="0"/>
        <w:jc w:val="left"/>
        <w:rPr>
          <w:rFonts w:ascii="宋体" w:hAnsi="宋体" w:eastAsia="宋体" w:cs="Arial"/>
          <w:bCs/>
          <w:kern w:val="0"/>
          <w:sz w:val="24"/>
        </w:rPr>
      </w:pPr>
      <w:r>
        <w:rPr>
          <w:rFonts w:hint="eastAsia" w:ascii="宋体" w:hAnsi="宋体" w:eastAsia="宋体" w:cs="Arial"/>
          <w:bCs/>
          <w:kern w:val="0"/>
          <w:sz w:val="24"/>
        </w:rPr>
        <w:t>采购项目名称：</w:t>
      </w:r>
    </w:p>
    <w:p w14:paraId="5A0E26C2">
      <w:pPr>
        <w:ind w:firstLine="480" w:firstLineChars="200"/>
        <w:rPr>
          <w:rFonts w:cs="Times New Roman" w:asciiTheme="minorEastAsia" w:hAnsiTheme="minorEastAsia"/>
          <w:bCs/>
          <w:color w:val="000000"/>
          <w:sz w:val="24"/>
        </w:rPr>
      </w:pPr>
      <w:bookmarkStart w:id="0" w:name="OLE_LINK13"/>
      <w:r>
        <w:rPr>
          <w:rFonts w:hint="eastAsia" w:cs="Times New Roman" w:asciiTheme="minorEastAsia" w:hAnsiTheme="minorEastAsia"/>
          <w:bCs/>
          <w:color w:val="000000"/>
          <w:sz w:val="24"/>
        </w:rPr>
        <w:t>广州市实验外语学校2</w:t>
      </w:r>
      <w:r>
        <w:rPr>
          <w:rFonts w:cs="Times New Roman" w:asciiTheme="minorEastAsia" w:hAnsiTheme="minorEastAsia"/>
          <w:bCs/>
          <w:color w:val="000000"/>
          <w:sz w:val="24"/>
        </w:rPr>
        <w:t>026</w:t>
      </w:r>
      <w:r>
        <w:rPr>
          <w:rFonts w:hint="eastAsia" w:cs="Times New Roman" w:asciiTheme="minorEastAsia" w:hAnsiTheme="minorEastAsia"/>
          <w:bCs/>
          <w:color w:val="000000"/>
          <w:sz w:val="24"/>
        </w:rPr>
        <w:t>年度上半年小学《新思维小学英语》比选采购项目</w:t>
      </w:r>
      <w:bookmarkEnd w:id="0"/>
    </w:p>
    <w:p w14:paraId="37A0D5DF">
      <w:pPr>
        <w:pStyle w:val="8"/>
        <w:widowControl/>
        <w:numPr>
          <w:ilvl w:val="0"/>
          <w:numId w:val="1"/>
        </w:numPr>
        <w:shd w:val="clear" w:color="auto" w:fill="FFFFFF"/>
        <w:spacing w:line="360" w:lineRule="auto"/>
        <w:ind w:right="-340" w:rightChars="-162" w:firstLineChars="0"/>
        <w:jc w:val="left"/>
        <w:rPr>
          <w:rFonts w:ascii="宋体" w:hAnsi="宋体" w:eastAsia="宋体" w:cs="Arial"/>
          <w:bCs/>
          <w:kern w:val="0"/>
          <w:sz w:val="24"/>
        </w:rPr>
      </w:pPr>
      <w:r>
        <w:rPr>
          <w:rFonts w:hint="eastAsia" w:ascii="宋体" w:hAnsi="宋体" w:eastAsia="宋体" w:cs="Arial"/>
          <w:bCs/>
          <w:kern w:val="0"/>
          <w:sz w:val="24"/>
        </w:rPr>
        <w:t>采购限价总金额：</w:t>
      </w:r>
      <w:r>
        <w:rPr>
          <w:rFonts w:ascii="宋体" w:hAnsi="宋体" w:eastAsia="宋体" w:cs="Arial"/>
          <w:bCs/>
          <w:kern w:val="0"/>
          <w:sz w:val="24"/>
        </w:rPr>
        <w:t>80000</w:t>
      </w:r>
      <w:r>
        <w:rPr>
          <w:rFonts w:hint="eastAsia" w:ascii="宋体" w:hAnsi="宋体" w:eastAsia="宋体" w:cs="Arial"/>
          <w:bCs/>
          <w:kern w:val="0"/>
          <w:sz w:val="24"/>
        </w:rPr>
        <w:t>元</w:t>
      </w:r>
    </w:p>
    <w:p w14:paraId="68FE422D">
      <w:pPr>
        <w:pStyle w:val="8"/>
        <w:widowControl/>
        <w:numPr>
          <w:ilvl w:val="0"/>
          <w:numId w:val="1"/>
        </w:numPr>
        <w:shd w:val="clear" w:color="auto" w:fill="FFFFFF"/>
        <w:spacing w:line="360" w:lineRule="auto"/>
        <w:ind w:right="-340" w:rightChars="-162" w:firstLineChars="0"/>
        <w:jc w:val="left"/>
        <w:rPr>
          <w:rFonts w:ascii="宋体" w:hAnsi="宋体" w:eastAsia="宋体" w:cs="Arial"/>
          <w:bCs/>
          <w:kern w:val="0"/>
          <w:sz w:val="24"/>
        </w:rPr>
      </w:pPr>
      <w:r>
        <w:rPr>
          <w:rFonts w:hint="eastAsia" w:ascii="宋体" w:hAnsi="宋体" w:eastAsia="宋体" w:cs="Arial"/>
          <w:bCs/>
          <w:kern w:val="0"/>
          <w:sz w:val="24"/>
        </w:rPr>
        <w:t>服务期：半年</w:t>
      </w:r>
    </w:p>
    <w:p w14:paraId="481451F0">
      <w:pPr>
        <w:pStyle w:val="8"/>
        <w:widowControl/>
        <w:numPr>
          <w:ilvl w:val="0"/>
          <w:numId w:val="1"/>
        </w:numPr>
        <w:shd w:val="clear" w:color="auto" w:fill="FFFFFF"/>
        <w:spacing w:line="360" w:lineRule="auto"/>
        <w:ind w:right="-340" w:rightChars="-162" w:firstLineChars="0"/>
        <w:jc w:val="left"/>
        <w:rPr>
          <w:rFonts w:ascii="宋体" w:hAnsi="宋体" w:eastAsia="宋体" w:cs="Arial"/>
          <w:bCs/>
          <w:kern w:val="0"/>
          <w:sz w:val="24"/>
        </w:rPr>
      </w:pPr>
      <w:bookmarkStart w:id="1" w:name="OLE_LINK12"/>
      <w:r>
        <w:rPr>
          <w:rFonts w:hint="eastAsia" w:ascii="宋体" w:hAnsi="宋体" w:eastAsia="宋体" w:cs="Arial"/>
          <w:bCs/>
          <w:kern w:val="0"/>
          <w:sz w:val="24"/>
        </w:rPr>
        <w:t>用户需求</w:t>
      </w:r>
    </w:p>
    <w:p w14:paraId="2B7F6F75">
      <w:pPr>
        <w:spacing w:line="360" w:lineRule="auto"/>
        <w:rPr>
          <w:rFonts w:cs="Times New Roman" w:asciiTheme="minorEastAsia" w:hAnsiTheme="minorEastAsia"/>
          <w:color w:val="000000"/>
          <w:sz w:val="24"/>
        </w:rPr>
      </w:pPr>
      <w:r>
        <w:rPr>
          <w:rFonts w:hint="eastAsia" w:cs="Times New Roman" w:asciiTheme="minorEastAsia" w:hAnsiTheme="minorEastAsia"/>
          <w:color w:val="000000"/>
          <w:sz w:val="24"/>
        </w:rPr>
        <w:t>（一） 采购清单</w:t>
      </w:r>
    </w:p>
    <w:tbl>
      <w:tblPr>
        <w:tblStyle w:val="10"/>
        <w:tblW w:w="10065"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2410"/>
        <w:gridCol w:w="2410"/>
        <w:gridCol w:w="1276"/>
        <w:gridCol w:w="1842"/>
        <w:gridCol w:w="1418"/>
      </w:tblGrid>
      <w:tr w14:paraId="73BC1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64F4822">
            <w:pPr>
              <w:autoSpaceDE w:val="0"/>
              <w:autoSpaceDN w:val="0"/>
              <w:adjustRightInd w:val="0"/>
              <w:spacing w:line="360" w:lineRule="auto"/>
              <w:rPr>
                <w:rFonts w:ascii="宋体" w:hAnsi="宋体" w:eastAsia="宋体" w:cs="楷体"/>
                <w:kern w:val="0"/>
                <w:sz w:val="24"/>
              </w:rPr>
            </w:pPr>
            <w:r>
              <w:rPr>
                <w:rFonts w:hint="eastAsia" w:ascii="宋体" w:hAnsi="宋体" w:eastAsia="宋体" w:cs="楷体"/>
                <w:kern w:val="0"/>
                <w:sz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62D0F191">
            <w:pPr>
              <w:autoSpaceDE w:val="0"/>
              <w:autoSpaceDN w:val="0"/>
              <w:adjustRightInd w:val="0"/>
              <w:spacing w:line="360" w:lineRule="auto"/>
              <w:jc w:val="center"/>
              <w:rPr>
                <w:rFonts w:ascii="宋体" w:hAnsi="宋体" w:eastAsia="宋体" w:cs="楷体"/>
                <w:kern w:val="0"/>
                <w:sz w:val="24"/>
              </w:rPr>
            </w:pPr>
            <w:bookmarkStart w:id="2" w:name="_Hlk212624123"/>
            <w:r>
              <w:rPr>
                <w:rFonts w:hint="eastAsia" w:ascii="宋体" w:hAnsi="宋体" w:eastAsia="宋体" w:cs="楷体"/>
                <w:kern w:val="0"/>
                <w:sz w:val="24"/>
              </w:rPr>
              <w:t>书号</w:t>
            </w:r>
          </w:p>
        </w:tc>
        <w:tc>
          <w:tcPr>
            <w:tcW w:w="2410" w:type="dxa"/>
            <w:tcBorders>
              <w:top w:val="single" w:color="auto" w:sz="4" w:space="0"/>
              <w:left w:val="nil"/>
              <w:bottom w:val="single" w:color="auto" w:sz="4" w:space="0"/>
              <w:right w:val="single" w:color="auto" w:sz="4" w:space="0"/>
            </w:tcBorders>
            <w:shd w:val="clear" w:color="auto" w:fill="auto"/>
          </w:tcPr>
          <w:p w14:paraId="183A3E38">
            <w:pPr>
              <w:autoSpaceDE w:val="0"/>
              <w:autoSpaceDN w:val="0"/>
              <w:adjustRightInd w:val="0"/>
              <w:spacing w:line="360" w:lineRule="auto"/>
              <w:jc w:val="center"/>
              <w:rPr>
                <w:rFonts w:ascii="宋体" w:hAnsi="宋体" w:eastAsia="宋体" w:cs="楷体"/>
                <w:kern w:val="0"/>
                <w:sz w:val="24"/>
              </w:rPr>
            </w:pPr>
            <w:r>
              <w:rPr>
                <w:rFonts w:hint="eastAsia" w:ascii="宋体" w:hAnsi="宋体" w:eastAsia="宋体" w:cs="楷体"/>
                <w:kern w:val="0"/>
                <w:sz w:val="24"/>
              </w:rPr>
              <w:t>货物名称</w:t>
            </w:r>
          </w:p>
        </w:tc>
        <w:tc>
          <w:tcPr>
            <w:tcW w:w="1276" w:type="dxa"/>
            <w:tcBorders>
              <w:top w:val="single" w:color="auto" w:sz="4" w:space="0"/>
              <w:left w:val="nil"/>
              <w:bottom w:val="single" w:color="auto" w:sz="4" w:space="0"/>
              <w:right w:val="single" w:color="auto" w:sz="4" w:space="0"/>
            </w:tcBorders>
          </w:tcPr>
          <w:p w14:paraId="71C7D787">
            <w:pPr>
              <w:autoSpaceDE w:val="0"/>
              <w:autoSpaceDN w:val="0"/>
              <w:adjustRightInd w:val="0"/>
              <w:spacing w:line="360" w:lineRule="auto"/>
              <w:rPr>
                <w:rFonts w:ascii="Times New Roman" w:hAnsi="Times New Roman" w:eastAsia="宋体" w:cs="Times New Roman"/>
                <w:kern w:val="0"/>
                <w:sz w:val="20"/>
              </w:rPr>
            </w:pPr>
            <w:r>
              <w:rPr>
                <w:rFonts w:hint="eastAsia" w:ascii="宋体" w:hAnsi="宋体" w:eastAsia="宋体" w:cs="楷体"/>
                <w:kern w:val="0"/>
                <w:sz w:val="24"/>
              </w:rPr>
              <w:t>数量（本）</w:t>
            </w:r>
          </w:p>
        </w:tc>
        <w:tc>
          <w:tcPr>
            <w:tcW w:w="1842" w:type="dxa"/>
            <w:tcBorders>
              <w:top w:val="single" w:color="auto" w:sz="4" w:space="0"/>
              <w:left w:val="nil"/>
              <w:bottom w:val="single" w:color="auto" w:sz="4" w:space="0"/>
              <w:right w:val="single" w:color="auto" w:sz="4" w:space="0"/>
            </w:tcBorders>
            <w:shd w:val="clear" w:color="auto" w:fill="auto"/>
          </w:tcPr>
          <w:p w14:paraId="43E69BFE">
            <w:pPr>
              <w:autoSpaceDE w:val="0"/>
              <w:autoSpaceDN w:val="0"/>
              <w:adjustRightInd w:val="0"/>
              <w:spacing w:line="360" w:lineRule="auto"/>
              <w:rPr>
                <w:rFonts w:ascii="宋体" w:hAnsi="宋体" w:eastAsia="宋体" w:cs="楷体"/>
                <w:kern w:val="0"/>
                <w:sz w:val="21"/>
                <w:szCs w:val="21"/>
              </w:rPr>
            </w:pPr>
            <w:r>
              <w:rPr>
                <w:rFonts w:hint="eastAsia" w:ascii="宋体" w:hAnsi="宋体" w:eastAsia="宋体" w:cs="楷体"/>
                <w:kern w:val="0"/>
                <w:sz w:val="21"/>
                <w:szCs w:val="21"/>
              </w:rPr>
              <w:t>最高限价（元/本）</w:t>
            </w:r>
          </w:p>
        </w:tc>
        <w:tc>
          <w:tcPr>
            <w:tcW w:w="1418" w:type="dxa"/>
            <w:tcBorders>
              <w:top w:val="single" w:color="auto" w:sz="4" w:space="0"/>
              <w:left w:val="nil"/>
              <w:bottom w:val="single" w:color="auto" w:sz="4" w:space="0"/>
              <w:right w:val="single" w:color="auto" w:sz="4" w:space="0"/>
            </w:tcBorders>
            <w:shd w:val="clear" w:color="auto" w:fill="auto"/>
          </w:tcPr>
          <w:p w14:paraId="1D916F87">
            <w:pPr>
              <w:autoSpaceDE w:val="0"/>
              <w:autoSpaceDN w:val="0"/>
              <w:adjustRightInd w:val="0"/>
              <w:spacing w:line="360" w:lineRule="auto"/>
              <w:rPr>
                <w:rFonts w:ascii="宋体" w:hAnsi="宋体" w:eastAsia="宋体" w:cs="楷体"/>
                <w:kern w:val="0"/>
                <w:sz w:val="24"/>
              </w:rPr>
            </w:pPr>
            <w:r>
              <w:rPr>
                <w:rFonts w:hint="eastAsia" w:ascii="宋体" w:hAnsi="宋体" w:eastAsia="宋体" w:cs="楷体"/>
                <w:kern w:val="0"/>
                <w:sz w:val="24"/>
              </w:rPr>
              <w:t>出版社</w:t>
            </w:r>
          </w:p>
        </w:tc>
      </w:tr>
      <w:tr w14:paraId="4F780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662E76A1">
            <w:pPr>
              <w:autoSpaceDE w:val="0"/>
              <w:autoSpaceDN w:val="0"/>
              <w:adjustRightInd w:val="0"/>
              <w:spacing w:line="360" w:lineRule="auto"/>
              <w:rPr>
                <w:rFonts w:ascii="宋体" w:hAnsi="宋体" w:eastAsia="宋体" w:cs="楷体"/>
                <w:kern w:val="0"/>
                <w:sz w:val="24"/>
              </w:rPr>
            </w:pPr>
            <w:bookmarkStart w:id="3" w:name="_Hlk213078419"/>
            <w:r>
              <w:rPr>
                <w:rFonts w:hint="eastAsia" w:ascii="宋体" w:hAnsi="宋体" w:eastAsia="宋体" w:cs="楷体"/>
                <w:kern w:val="0"/>
                <w:sz w:val="24"/>
              </w:rPr>
              <w:t>1</w:t>
            </w:r>
          </w:p>
        </w:tc>
        <w:tc>
          <w:tcPr>
            <w:tcW w:w="2410" w:type="dxa"/>
            <w:vAlign w:val="center"/>
          </w:tcPr>
          <w:p w14:paraId="7AB81FB3">
            <w:pPr>
              <w:autoSpaceDE w:val="0"/>
              <w:autoSpaceDN w:val="0"/>
              <w:adjustRightInd w:val="0"/>
              <w:spacing w:line="360" w:lineRule="auto"/>
              <w:rPr>
                <w:rFonts w:ascii="宋体" w:hAnsi="宋体" w:eastAsia="宋体" w:cs="楷体"/>
                <w:kern w:val="0"/>
                <w:sz w:val="24"/>
              </w:rPr>
            </w:pPr>
            <w:bookmarkStart w:id="4" w:name="_Hlk213077990"/>
            <w:r>
              <w:rPr>
                <w:rFonts w:hint="eastAsia" w:ascii="宋体" w:hAnsi="宋体" w:eastAsia="宋体" w:cs="楷体"/>
                <w:kern w:val="0"/>
                <w:sz w:val="24"/>
              </w:rPr>
              <w:t>978-7-5446-6093-8</w:t>
            </w:r>
          </w:p>
        </w:tc>
        <w:tc>
          <w:tcPr>
            <w:tcW w:w="2410" w:type="dxa"/>
            <w:vAlign w:val="bottom"/>
          </w:tcPr>
          <w:p w14:paraId="6C1B5311">
            <w:pPr>
              <w:autoSpaceDE w:val="0"/>
              <w:autoSpaceDN w:val="0"/>
              <w:adjustRightInd w:val="0"/>
              <w:spacing w:line="360" w:lineRule="auto"/>
              <w:rPr>
                <w:rFonts w:ascii="宋体" w:hAnsi="宋体" w:eastAsia="宋体" w:cs="楷体"/>
                <w:kern w:val="0"/>
                <w:sz w:val="24"/>
              </w:rPr>
            </w:pPr>
            <w:r>
              <w:rPr>
                <w:rFonts w:hint="eastAsia" w:ascii="宋体" w:hAnsi="宋体" w:eastAsia="宋体" w:cs="楷体"/>
                <w:kern w:val="0"/>
                <w:sz w:val="24"/>
              </w:rPr>
              <w:t xml:space="preserve">新思维小学英语 5B </w:t>
            </w:r>
          </w:p>
        </w:tc>
        <w:tc>
          <w:tcPr>
            <w:tcW w:w="1276" w:type="dxa"/>
            <w:tcBorders>
              <w:top w:val="single" w:color="000000" w:sz="4" w:space="0"/>
              <w:left w:val="single" w:color="000000" w:sz="4" w:space="0"/>
              <w:bottom w:val="single" w:color="000000" w:sz="4" w:space="0"/>
              <w:right w:val="single" w:color="000000" w:sz="4" w:space="0"/>
            </w:tcBorders>
          </w:tcPr>
          <w:p w14:paraId="644064B7">
            <w:pPr>
              <w:autoSpaceDE w:val="0"/>
              <w:autoSpaceDN w:val="0"/>
              <w:adjustRightInd w:val="0"/>
              <w:spacing w:line="360" w:lineRule="auto"/>
              <w:ind w:firstLine="480"/>
              <w:rPr>
                <w:rFonts w:ascii="宋体" w:hAnsi="宋体" w:eastAsia="宋体" w:cs="楷体"/>
                <w:kern w:val="0"/>
                <w:sz w:val="24"/>
              </w:rPr>
            </w:pPr>
            <w:r>
              <w:rPr>
                <w:rFonts w:hint="eastAsia" w:ascii="宋体" w:hAnsi="宋体" w:eastAsia="宋体" w:cs="楷体"/>
                <w:kern w:val="0"/>
                <w:sz w:val="24"/>
              </w:rPr>
              <w:t>512</w:t>
            </w:r>
          </w:p>
        </w:tc>
        <w:tc>
          <w:tcPr>
            <w:tcW w:w="1842" w:type="dxa"/>
            <w:tcBorders>
              <w:bottom w:val="single" w:color="auto" w:sz="4" w:space="0"/>
            </w:tcBorders>
            <w:vAlign w:val="center"/>
          </w:tcPr>
          <w:p w14:paraId="5E5D2153">
            <w:pPr>
              <w:autoSpaceDE w:val="0"/>
              <w:autoSpaceDN w:val="0"/>
              <w:adjustRightInd w:val="0"/>
              <w:spacing w:line="360" w:lineRule="auto"/>
              <w:ind w:firstLine="480" w:firstLineChars="200"/>
              <w:rPr>
                <w:rFonts w:ascii="宋体" w:hAnsi="宋体" w:eastAsia="宋体" w:cs="楷体"/>
                <w:kern w:val="0"/>
                <w:sz w:val="24"/>
              </w:rPr>
            </w:pPr>
            <w:r>
              <w:rPr>
                <w:rFonts w:hint="eastAsia" w:ascii="宋体" w:hAnsi="宋体" w:eastAsia="宋体" w:cs="楷体"/>
                <w:kern w:val="0"/>
                <w:sz w:val="24"/>
              </w:rPr>
              <w:t>7</w:t>
            </w:r>
            <w:r>
              <w:rPr>
                <w:rFonts w:ascii="宋体" w:hAnsi="宋体" w:eastAsia="宋体" w:cs="楷体"/>
                <w:kern w:val="0"/>
                <w:sz w:val="24"/>
              </w:rPr>
              <w:t>4</w:t>
            </w:r>
          </w:p>
        </w:tc>
        <w:tc>
          <w:tcPr>
            <w:tcW w:w="1418" w:type="dxa"/>
            <w:vMerge w:val="restart"/>
          </w:tcPr>
          <w:p w14:paraId="5C441851">
            <w:pPr>
              <w:autoSpaceDE w:val="0"/>
              <w:autoSpaceDN w:val="0"/>
              <w:adjustRightInd w:val="0"/>
              <w:spacing w:line="360" w:lineRule="auto"/>
              <w:rPr>
                <w:rFonts w:ascii="宋体" w:hAnsi="宋体" w:eastAsia="宋体" w:cs="楷体"/>
                <w:kern w:val="0"/>
                <w:sz w:val="24"/>
              </w:rPr>
            </w:pPr>
            <w:r>
              <w:rPr>
                <w:rFonts w:hint="eastAsia" w:ascii="宋体" w:hAnsi="宋体" w:eastAsia="宋体" w:cs="楷体"/>
                <w:kern w:val="0"/>
                <w:sz w:val="24"/>
              </w:rPr>
              <w:t>朗文出版社</w:t>
            </w:r>
          </w:p>
        </w:tc>
      </w:tr>
      <w:tr w14:paraId="44A9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220B9B45">
            <w:pPr>
              <w:autoSpaceDE w:val="0"/>
              <w:autoSpaceDN w:val="0"/>
              <w:adjustRightInd w:val="0"/>
              <w:spacing w:line="360" w:lineRule="auto"/>
              <w:rPr>
                <w:rFonts w:ascii="宋体" w:hAnsi="宋体" w:eastAsia="宋体" w:cs="楷体"/>
                <w:kern w:val="0"/>
                <w:sz w:val="24"/>
              </w:rPr>
            </w:pPr>
            <w:r>
              <w:rPr>
                <w:rFonts w:hint="eastAsia" w:ascii="宋体" w:hAnsi="宋体" w:eastAsia="宋体" w:cs="楷体"/>
                <w:kern w:val="0"/>
                <w:sz w:val="24"/>
              </w:rPr>
              <w:t>2</w:t>
            </w:r>
          </w:p>
        </w:tc>
        <w:tc>
          <w:tcPr>
            <w:tcW w:w="2410" w:type="dxa"/>
            <w:vAlign w:val="center"/>
          </w:tcPr>
          <w:p w14:paraId="503F308E">
            <w:pPr>
              <w:autoSpaceDE w:val="0"/>
              <w:autoSpaceDN w:val="0"/>
              <w:adjustRightInd w:val="0"/>
              <w:spacing w:line="360" w:lineRule="auto"/>
              <w:rPr>
                <w:rFonts w:ascii="宋体" w:hAnsi="宋体" w:eastAsia="宋体" w:cs="楷体"/>
                <w:kern w:val="0"/>
                <w:sz w:val="24"/>
              </w:rPr>
            </w:pPr>
            <w:r>
              <w:rPr>
                <w:rFonts w:hint="eastAsia" w:ascii="宋体" w:hAnsi="宋体" w:eastAsia="宋体" w:cs="楷体"/>
                <w:kern w:val="0"/>
                <w:sz w:val="24"/>
              </w:rPr>
              <w:t>978-7-5446-6092-1</w:t>
            </w:r>
          </w:p>
        </w:tc>
        <w:tc>
          <w:tcPr>
            <w:tcW w:w="2410" w:type="dxa"/>
            <w:vAlign w:val="bottom"/>
          </w:tcPr>
          <w:p w14:paraId="4E6DE4F2">
            <w:pPr>
              <w:autoSpaceDE w:val="0"/>
              <w:autoSpaceDN w:val="0"/>
              <w:adjustRightInd w:val="0"/>
              <w:spacing w:line="360" w:lineRule="auto"/>
              <w:rPr>
                <w:rFonts w:ascii="宋体" w:hAnsi="宋体" w:eastAsia="宋体" w:cs="楷体"/>
                <w:kern w:val="0"/>
                <w:sz w:val="24"/>
              </w:rPr>
            </w:pPr>
            <w:r>
              <w:rPr>
                <w:rFonts w:hint="eastAsia" w:ascii="宋体" w:hAnsi="宋体" w:eastAsia="宋体" w:cs="楷体"/>
                <w:kern w:val="0"/>
                <w:sz w:val="24"/>
              </w:rPr>
              <w:t>新思维小学英语 6B</w:t>
            </w:r>
          </w:p>
        </w:tc>
        <w:tc>
          <w:tcPr>
            <w:tcW w:w="1276" w:type="dxa"/>
            <w:tcBorders>
              <w:top w:val="single" w:color="000000" w:sz="4" w:space="0"/>
              <w:left w:val="single" w:color="000000" w:sz="4" w:space="0"/>
              <w:bottom w:val="single" w:color="000000" w:sz="4" w:space="0"/>
              <w:right w:val="single" w:color="000000" w:sz="4" w:space="0"/>
            </w:tcBorders>
          </w:tcPr>
          <w:p w14:paraId="67BF88BC">
            <w:pPr>
              <w:autoSpaceDE w:val="0"/>
              <w:autoSpaceDN w:val="0"/>
              <w:adjustRightInd w:val="0"/>
              <w:spacing w:line="360" w:lineRule="auto"/>
              <w:ind w:firstLine="480"/>
              <w:rPr>
                <w:rFonts w:ascii="宋体" w:hAnsi="宋体" w:eastAsia="宋体" w:cs="楷体"/>
                <w:kern w:val="0"/>
                <w:sz w:val="24"/>
              </w:rPr>
            </w:pPr>
            <w:r>
              <w:rPr>
                <w:rFonts w:hint="eastAsia" w:ascii="宋体" w:hAnsi="宋体" w:eastAsia="宋体" w:cs="楷体"/>
                <w:kern w:val="0"/>
                <w:sz w:val="24"/>
              </w:rPr>
              <w:t>5</w:t>
            </w:r>
            <w:r>
              <w:rPr>
                <w:rFonts w:ascii="宋体" w:hAnsi="宋体" w:eastAsia="宋体" w:cs="楷体"/>
                <w:kern w:val="0"/>
                <w:sz w:val="24"/>
              </w:rPr>
              <w:t>55</w:t>
            </w:r>
          </w:p>
        </w:tc>
        <w:tc>
          <w:tcPr>
            <w:tcW w:w="1842" w:type="dxa"/>
            <w:tcBorders>
              <w:top w:val="single" w:color="auto" w:sz="4" w:space="0"/>
            </w:tcBorders>
          </w:tcPr>
          <w:p w14:paraId="68E361D3">
            <w:pPr>
              <w:autoSpaceDE w:val="0"/>
              <w:autoSpaceDN w:val="0"/>
              <w:adjustRightInd w:val="0"/>
              <w:spacing w:line="360" w:lineRule="auto"/>
              <w:ind w:firstLine="480" w:firstLineChars="200"/>
              <w:rPr>
                <w:rFonts w:ascii="宋体" w:hAnsi="宋体" w:eastAsia="宋体" w:cs="楷体"/>
                <w:kern w:val="0"/>
                <w:sz w:val="24"/>
              </w:rPr>
            </w:pPr>
            <w:r>
              <w:rPr>
                <w:rFonts w:hint="eastAsia" w:ascii="宋体" w:hAnsi="宋体" w:eastAsia="宋体" w:cs="楷体"/>
                <w:kern w:val="0"/>
                <w:sz w:val="24"/>
              </w:rPr>
              <w:t>7</w:t>
            </w:r>
            <w:r>
              <w:rPr>
                <w:rFonts w:ascii="宋体" w:hAnsi="宋体" w:eastAsia="宋体" w:cs="楷体"/>
                <w:kern w:val="0"/>
                <w:sz w:val="24"/>
              </w:rPr>
              <w:t>4</w:t>
            </w:r>
          </w:p>
        </w:tc>
        <w:tc>
          <w:tcPr>
            <w:tcW w:w="1418" w:type="dxa"/>
            <w:vMerge w:val="continue"/>
          </w:tcPr>
          <w:p w14:paraId="276E2B84">
            <w:pPr>
              <w:autoSpaceDE w:val="0"/>
              <w:autoSpaceDN w:val="0"/>
              <w:adjustRightInd w:val="0"/>
              <w:spacing w:line="360" w:lineRule="auto"/>
              <w:rPr>
                <w:rFonts w:ascii="宋体" w:hAnsi="宋体" w:eastAsia="宋体" w:cs="楷体"/>
                <w:kern w:val="0"/>
                <w:sz w:val="24"/>
              </w:rPr>
            </w:pPr>
          </w:p>
        </w:tc>
      </w:tr>
      <w:bookmarkEnd w:id="2"/>
      <w:bookmarkEnd w:id="3"/>
      <w:bookmarkEnd w:id="4"/>
    </w:tbl>
    <w:p w14:paraId="0BAA20AC">
      <w:pPr>
        <w:autoSpaceDE w:val="0"/>
        <w:autoSpaceDN w:val="0"/>
        <w:adjustRightInd w:val="0"/>
        <w:spacing w:line="360" w:lineRule="auto"/>
        <w:rPr>
          <w:rFonts w:ascii="宋体" w:hAnsi="宋体" w:eastAsia="宋体" w:cs="楷体"/>
          <w:sz w:val="24"/>
        </w:rPr>
      </w:pPr>
      <w:r>
        <w:rPr>
          <w:rFonts w:hint="eastAsia" w:ascii="宋体" w:hAnsi="宋体" w:eastAsia="宋体" w:cs="楷体"/>
          <w:sz w:val="24"/>
        </w:rPr>
        <w:t>备注</w:t>
      </w:r>
      <w:r>
        <w:rPr>
          <w:rFonts w:ascii="宋体" w:hAnsi="宋体" w:eastAsia="宋体" w:cs="楷体"/>
          <w:sz w:val="24"/>
        </w:rPr>
        <w:t>：</w:t>
      </w:r>
      <w:r>
        <w:rPr>
          <w:rFonts w:hint="eastAsia" w:ascii="宋体" w:hAnsi="宋体" w:eastAsia="宋体" w:cs="楷体"/>
          <w:sz w:val="24"/>
        </w:rPr>
        <w:t>目录中的数量为采购单位预估采购数量，实际采购数量以采购订单为准。</w:t>
      </w:r>
    </w:p>
    <w:p w14:paraId="73F5D25F">
      <w:pPr>
        <w:autoSpaceDE w:val="0"/>
        <w:autoSpaceDN w:val="0"/>
        <w:adjustRightInd w:val="0"/>
        <w:spacing w:line="360" w:lineRule="auto"/>
        <w:rPr>
          <w:rFonts w:ascii="宋体" w:hAnsi="宋体" w:eastAsia="宋体" w:cs="楷体"/>
          <w:sz w:val="24"/>
          <w:lang w:val="zh-CN"/>
        </w:rPr>
      </w:pPr>
      <w:r>
        <w:rPr>
          <w:rFonts w:hint="eastAsia" w:ascii="宋体" w:hAnsi="宋体" w:eastAsia="宋体" w:cs="楷体"/>
          <w:sz w:val="24"/>
          <w:lang w:val="zh-CN"/>
        </w:rPr>
        <w:t>（二）技术要求</w:t>
      </w:r>
    </w:p>
    <w:p w14:paraId="5038B3EB">
      <w:pPr>
        <w:autoSpaceDE w:val="0"/>
        <w:autoSpaceDN w:val="0"/>
        <w:adjustRightInd w:val="0"/>
        <w:spacing w:line="360" w:lineRule="auto"/>
        <w:rPr>
          <w:rFonts w:ascii="宋体" w:hAnsi="宋体" w:eastAsia="宋体" w:cs="楷体"/>
          <w:sz w:val="24"/>
        </w:rPr>
      </w:pPr>
      <w:r>
        <w:rPr>
          <w:rFonts w:hint="eastAsia" w:ascii="宋体" w:hAnsi="宋体" w:eastAsia="宋体" w:cs="楷体"/>
          <w:sz w:val="24"/>
          <w:lang w:val="zh-CN"/>
        </w:rPr>
        <w:t xml:space="preserve">    </w:t>
      </w:r>
      <w:r>
        <w:rPr>
          <w:rFonts w:hint="eastAsia" w:ascii="宋体" w:hAnsi="宋体" w:eastAsia="宋体" w:cs="楷体"/>
          <w:sz w:val="24"/>
        </w:rPr>
        <w:t>1、中选人保证供应的阅读资料均为合法的出版物（正版），符合国家相关产品的质量标准，一旦发现提供的资料是盗版，采购人有权即时暂停或终止中选单位的供应活动及其供应商资格，按照《中华人民共和国消费者权益保护法》第五十五条规定进行处理，并由中选单位承担由此而引起的一切经济责任和法律责任。【提供正规采购渠道凭单（包括但不限于产品授权书、代理协议、销售协议等）】</w:t>
      </w:r>
    </w:p>
    <w:p w14:paraId="21B1B12C">
      <w:pPr>
        <w:autoSpaceDE w:val="0"/>
        <w:autoSpaceDN w:val="0"/>
        <w:adjustRightInd w:val="0"/>
        <w:spacing w:line="360" w:lineRule="auto"/>
        <w:ind w:firstLine="360" w:firstLineChars="150"/>
        <w:rPr>
          <w:rFonts w:ascii="宋体" w:hAnsi="宋体" w:eastAsia="宋体" w:cs="楷体"/>
          <w:b/>
          <w:bCs/>
          <w:sz w:val="24"/>
        </w:rPr>
      </w:pPr>
      <w:r>
        <w:rPr>
          <w:rFonts w:hint="eastAsia" w:ascii="宋体" w:hAnsi="宋体" w:eastAsia="宋体" w:cs="楷体"/>
          <w:sz w:val="24"/>
        </w:rPr>
        <w:t>2、中选人向采购人供应的资料如有印刷、装订、包装等质量问题，采购人可向中选人退换及追补。由此发生的一切费用由中选人承担。临时、急用的辅助资料，中选人应积极订购，并保证在二十四小时内回复相关信息，追订的辅助资料在回复信息开始五个工作日内到货。</w:t>
      </w:r>
      <w:r>
        <w:rPr>
          <w:rFonts w:hint="eastAsia" w:ascii="宋体" w:hAnsi="宋体" w:eastAsia="宋体" w:cs="楷体"/>
          <w:b/>
          <w:bCs/>
          <w:sz w:val="24"/>
        </w:rPr>
        <w:t>（需提供承诺函并加盖参选人公章）</w:t>
      </w:r>
    </w:p>
    <w:p w14:paraId="319A5276">
      <w:pPr>
        <w:autoSpaceDE w:val="0"/>
        <w:autoSpaceDN w:val="0"/>
        <w:adjustRightInd w:val="0"/>
        <w:spacing w:line="360" w:lineRule="auto"/>
        <w:ind w:firstLine="360" w:firstLineChars="150"/>
        <w:rPr>
          <w:rFonts w:ascii="宋体" w:hAnsi="宋体" w:eastAsia="宋体" w:cs="楷体"/>
          <w:sz w:val="24"/>
        </w:rPr>
      </w:pPr>
      <w:r>
        <w:rPr>
          <w:rFonts w:hint="eastAsia" w:ascii="宋体" w:hAnsi="宋体" w:eastAsia="宋体" w:cs="楷体"/>
          <w:sz w:val="24"/>
        </w:rPr>
        <w:t>3、中选人所供资料必须按合同要求的时间准备到位，不得以任何理由推脱（除发生不可抗力因素外），一旦影响教学，中选人应承担相应的责任。</w:t>
      </w:r>
    </w:p>
    <w:p w14:paraId="136B9138">
      <w:pPr>
        <w:autoSpaceDE w:val="0"/>
        <w:autoSpaceDN w:val="0"/>
        <w:adjustRightInd w:val="0"/>
        <w:spacing w:line="360" w:lineRule="auto"/>
        <w:ind w:firstLine="360" w:firstLineChars="150"/>
        <w:rPr>
          <w:rFonts w:ascii="宋体" w:hAnsi="宋体" w:eastAsia="宋体" w:cs="楷体"/>
          <w:sz w:val="24"/>
        </w:rPr>
      </w:pPr>
      <w:r>
        <w:rPr>
          <w:rFonts w:hint="eastAsia" w:ascii="宋体" w:hAnsi="宋体" w:eastAsia="宋体" w:cs="楷体"/>
          <w:sz w:val="24"/>
        </w:rPr>
        <w:t>4、若中选人不能按采购人要求及时间提供资料，而采购人可以从其它渠道及时取得的，则中选人必须按采购人的要求和提供的折扣去取货并负责与该资料提供者结算。</w:t>
      </w:r>
    </w:p>
    <w:p w14:paraId="0670E36F">
      <w:pPr>
        <w:autoSpaceDE w:val="0"/>
        <w:autoSpaceDN w:val="0"/>
        <w:adjustRightInd w:val="0"/>
        <w:spacing w:line="360" w:lineRule="auto"/>
        <w:ind w:firstLine="360" w:firstLineChars="150"/>
        <w:rPr>
          <w:rFonts w:ascii="宋体" w:hAnsi="宋体" w:eastAsia="宋体" w:cs="楷体"/>
          <w:sz w:val="24"/>
        </w:rPr>
      </w:pPr>
      <w:r>
        <w:rPr>
          <w:rFonts w:hint="eastAsia" w:ascii="宋体" w:hAnsi="宋体" w:eastAsia="宋体" w:cs="楷体"/>
          <w:sz w:val="24"/>
        </w:rPr>
        <w:t>5、参选人</w:t>
      </w:r>
      <w:r>
        <w:rPr>
          <w:rFonts w:hint="eastAsia" w:ascii="宋体" w:hAnsi="宋体" w:eastAsia="宋体" w:cs="楷体"/>
          <w:kern w:val="0"/>
          <w:sz w:val="24"/>
        </w:rPr>
        <w:t>针对本项目提供的项目实施方案包含配订及供货方案、教辅到货率保证措施，且方案详细完整、清晰全面、贴合项目需求。</w:t>
      </w:r>
    </w:p>
    <w:p w14:paraId="3EB35714">
      <w:pPr>
        <w:pStyle w:val="8"/>
        <w:widowControl/>
        <w:numPr>
          <w:ilvl w:val="0"/>
          <w:numId w:val="1"/>
        </w:numPr>
        <w:shd w:val="clear" w:color="auto" w:fill="FFFFFF"/>
        <w:spacing w:line="360" w:lineRule="auto"/>
        <w:ind w:right="-340" w:rightChars="-162" w:firstLineChars="0"/>
        <w:jc w:val="left"/>
        <w:rPr>
          <w:rFonts w:ascii="宋体" w:hAnsi="宋体" w:eastAsia="宋体" w:cs="Arial"/>
          <w:bCs/>
          <w:kern w:val="0"/>
          <w:sz w:val="24"/>
        </w:rPr>
      </w:pPr>
      <w:r>
        <w:rPr>
          <w:rFonts w:hint="eastAsia" w:ascii="宋体" w:hAnsi="宋体" w:eastAsia="宋体" w:cs="Arial"/>
          <w:bCs/>
          <w:kern w:val="0"/>
          <w:sz w:val="24"/>
        </w:rPr>
        <w:t>服务要求</w:t>
      </w:r>
    </w:p>
    <w:p w14:paraId="1800D9F7">
      <w:pPr>
        <w:autoSpaceDE w:val="0"/>
        <w:autoSpaceDN w:val="0"/>
        <w:adjustRightInd w:val="0"/>
        <w:spacing w:line="360" w:lineRule="auto"/>
        <w:rPr>
          <w:rFonts w:ascii="宋体" w:hAnsi="宋体" w:eastAsia="宋体" w:cs="Times New Roman"/>
          <w:sz w:val="24"/>
        </w:rPr>
      </w:pPr>
      <w:r>
        <w:rPr>
          <w:rFonts w:hint="eastAsia" w:ascii="宋体" w:hAnsi="宋体" w:eastAsia="宋体" w:cs="楷体"/>
          <w:sz w:val="24"/>
          <w:lang w:val="zh-CN"/>
        </w:rPr>
        <w:t>（一）完成时间及供货地点</w:t>
      </w:r>
    </w:p>
    <w:p w14:paraId="6A236B2F">
      <w:pPr>
        <w:autoSpaceDE w:val="0"/>
        <w:autoSpaceDN w:val="0"/>
        <w:adjustRightInd w:val="0"/>
        <w:spacing w:line="360" w:lineRule="auto"/>
        <w:ind w:firstLine="360" w:firstLineChars="150"/>
        <w:rPr>
          <w:rFonts w:ascii="宋体" w:hAnsi="宋体" w:eastAsia="宋体" w:cs="楷体"/>
          <w:b/>
          <w:bCs/>
          <w:sz w:val="24"/>
        </w:rPr>
      </w:pPr>
      <w:r>
        <w:rPr>
          <w:rFonts w:hint="eastAsia" w:ascii="宋体" w:hAnsi="宋体" w:eastAsia="宋体" w:cs="楷体"/>
          <w:sz w:val="24"/>
          <w:lang w:val="zh-CN"/>
        </w:rPr>
        <w:t>1.完成时间：</w:t>
      </w:r>
      <w:r>
        <w:rPr>
          <w:rFonts w:ascii="宋体" w:hAnsi="宋体" w:eastAsia="宋体" w:cs="楷体"/>
          <w:sz w:val="24"/>
          <w:lang w:val="zh-CN"/>
        </w:rPr>
        <w:t>开学前</w:t>
      </w:r>
      <w:r>
        <w:rPr>
          <w:rFonts w:hint="eastAsia" w:ascii="宋体" w:hAnsi="宋体" w:eastAsia="宋体" w:cs="楷体"/>
          <w:sz w:val="24"/>
          <w:lang w:val="zh-CN"/>
        </w:rPr>
        <w:t>按采购人要求的时间，中选人</w:t>
      </w:r>
      <w:r>
        <w:rPr>
          <w:rFonts w:ascii="宋体" w:hAnsi="宋体" w:eastAsia="宋体" w:cs="楷体"/>
          <w:sz w:val="24"/>
          <w:lang w:val="zh-CN"/>
        </w:rPr>
        <w:t>需将学校所订购的所有资料送到学校指定地点</w:t>
      </w:r>
      <w:r>
        <w:rPr>
          <w:rFonts w:hint="eastAsia" w:ascii="宋体" w:hAnsi="宋体" w:eastAsia="宋体" w:cs="楷体"/>
          <w:sz w:val="24"/>
        </w:rPr>
        <w:t>(图书馆)</w:t>
      </w:r>
      <w:r>
        <w:rPr>
          <w:rFonts w:hint="eastAsia" w:ascii="宋体" w:hAnsi="宋体" w:eastAsia="宋体" w:cs="Times New Roman"/>
          <w:sz w:val="24"/>
        </w:rPr>
        <w:t>同时承担相应的运输成本。</w:t>
      </w:r>
      <w:r>
        <w:rPr>
          <w:rFonts w:hint="eastAsia" w:ascii="宋体" w:hAnsi="宋体" w:eastAsia="宋体" w:cs="楷体"/>
          <w:b/>
          <w:bCs/>
          <w:sz w:val="24"/>
        </w:rPr>
        <w:t>（需提供承诺函并加盖参选人公章）</w:t>
      </w:r>
    </w:p>
    <w:p w14:paraId="5A022D91">
      <w:pPr>
        <w:spacing w:line="360" w:lineRule="auto"/>
        <w:ind w:firstLine="480" w:firstLineChars="200"/>
        <w:rPr>
          <w:rFonts w:ascii="宋体" w:hAnsi="宋体" w:eastAsia="宋体" w:cs="Times New Roman"/>
          <w:b/>
          <w:bCs/>
          <w:sz w:val="24"/>
        </w:rPr>
      </w:pPr>
      <w:r>
        <w:rPr>
          <w:rFonts w:hint="eastAsia" w:ascii="宋体" w:hAnsi="宋体" w:eastAsia="宋体" w:cs="楷体"/>
          <w:sz w:val="24"/>
          <w:lang w:val="zh-CN"/>
        </w:rPr>
        <w:t>2.采购人</w:t>
      </w:r>
      <w:r>
        <w:rPr>
          <w:rFonts w:hint="eastAsia" w:ascii="宋体" w:hAnsi="宋体" w:eastAsia="宋体" w:cs="楷体"/>
          <w:sz w:val="24"/>
        </w:rPr>
        <w:t>与原</w:t>
      </w:r>
      <w:r>
        <w:rPr>
          <w:rFonts w:ascii="宋体" w:hAnsi="宋体" w:eastAsia="宋体" w:cs="楷体"/>
          <w:sz w:val="24"/>
        </w:rPr>
        <w:t>中标</w:t>
      </w:r>
      <w:r>
        <w:rPr>
          <w:rFonts w:hint="eastAsia" w:ascii="宋体" w:hAnsi="宋体" w:eastAsia="宋体" w:cs="楷体"/>
          <w:sz w:val="24"/>
        </w:rPr>
        <w:t>服务</w:t>
      </w:r>
      <w:r>
        <w:rPr>
          <w:rFonts w:ascii="宋体" w:hAnsi="宋体" w:eastAsia="宋体" w:cs="楷体"/>
          <w:sz w:val="24"/>
        </w:rPr>
        <w:t>商</w:t>
      </w:r>
      <w:r>
        <w:rPr>
          <w:rFonts w:hint="eastAsia" w:ascii="宋体" w:hAnsi="宋体" w:eastAsia="宋体" w:cs="楷体"/>
          <w:sz w:val="24"/>
        </w:rPr>
        <w:t>合</w:t>
      </w:r>
      <w:r>
        <w:rPr>
          <w:rFonts w:ascii="宋体" w:hAnsi="宋体" w:eastAsia="宋体" w:cs="楷体"/>
          <w:sz w:val="24"/>
        </w:rPr>
        <w:t>同</w:t>
      </w:r>
      <w:r>
        <w:rPr>
          <w:rFonts w:hint="eastAsia" w:ascii="宋体" w:hAnsi="宋体" w:eastAsia="宋体" w:cs="楷体"/>
          <w:sz w:val="24"/>
        </w:rPr>
        <w:t>到</w:t>
      </w:r>
      <w:r>
        <w:rPr>
          <w:rFonts w:ascii="宋体" w:hAnsi="宋体" w:eastAsia="宋体" w:cs="楷体"/>
          <w:sz w:val="24"/>
        </w:rPr>
        <w:t>期</w:t>
      </w:r>
      <w:r>
        <w:rPr>
          <w:rFonts w:hint="eastAsia" w:ascii="宋体" w:hAnsi="宋体" w:eastAsia="宋体" w:cs="楷体"/>
          <w:sz w:val="24"/>
        </w:rPr>
        <w:t>时</w:t>
      </w:r>
      <w:r>
        <w:rPr>
          <w:rFonts w:ascii="宋体" w:hAnsi="宋体" w:eastAsia="宋体" w:cs="楷体"/>
          <w:sz w:val="24"/>
        </w:rPr>
        <w:t>间</w:t>
      </w:r>
      <w:r>
        <w:rPr>
          <w:rFonts w:hint="eastAsia" w:ascii="宋体" w:hAnsi="宋体" w:eastAsia="宋体" w:cs="楷体"/>
          <w:sz w:val="24"/>
        </w:rPr>
        <w:t>是</w:t>
      </w:r>
      <w:r>
        <w:rPr>
          <w:rFonts w:ascii="宋体" w:hAnsi="宋体" w:eastAsia="宋体" w:cs="楷体"/>
          <w:sz w:val="24"/>
        </w:rPr>
        <w:t>2025</w:t>
      </w:r>
      <w:r>
        <w:rPr>
          <w:rFonts w:hint="eastAsia" w:ascii="宋体" w:hAnsi="宋体" w:eastAsia="宋体" w:cs="楷体"/>
          <w:sz w:val="24"/>
        </w:rPr>
        <w:t>年</w:t>
      </w:r>
      <w:r>
        <w:rPr>
          <w:rFonts w:ascii="宋体" w:hAnsi="宋体" w:eastAsia="宋体" w:cs="楷体"/>
          <w:sz w:val="24"/>
        </w:rPr>
        <w:t>12</w:t>
      </w:r>
      <w:r>
        <w:rPr>
          <w:rFonts w:hint="eastAsia" w:ascii="宋体" w:hAnsi="宋体" w:eastAsia="宋体" w:cs="楷体"/>
          <w:sz w:val="24"/>
        </w:rPr>
        <w:t>月，需待原中标服务商合同到期后，新</w:t>
      </w:r>
      <w:r>
        <w:rPr>
          <w:rFonts w:ascii="宋体" w:hAnsi="宋体" w:eastAsia="宋体" w:cs="楷体"/>
          <w:sz w:val="24"/>
        </w:rPr>
        <w:t>中选人服务</w:t>
      </w:r>
      <w:r>
        <w:rPr>
          <w:rFonts w:hint="eastAsia" w:ascii="宋体" w:hAnsi="宋体" w:eastAsia="宋体" w:cs="楷体"/>
          <w:sz w:val="24"/>
        </w:rPr>
        <w:t>起</w:t>
      </w:r>
      <w:r>
        <w:rPr>
          <w:rFonts w:ascii="宋体" w:hAnsi="宋体" w:eastAsia="宋体" w:cs="楷体"/>
          <w:sz w:val="24"/>
        </w:rPr>
        <w:t>始时</w:t>
      </w:r>
      <w:r>
        <w:rPr>
          <w:rFonts w:hint="eastAsia" w:ascii="宋体" w:hAnsi="宋体" w:eastAsia="宋体" w:cs="楷体"/>
          <w:sz w:val="24"/>
        </w:rPr>
        <w:t>间从202</w:t>
      </w:r>
      <w:r>
        <w:rPr>
          <w:rFonts w:ascii="宋体" w:hAnsi="宋体" w:eastAsia="宋体" w:cs="楷体"/>
          <w:sz w:val="24"/>
        </w:rPr>
        <w:t>6</w:t>
      </w:r>
      <w:r>
        <w:rPr>
          <w:rFonts w:hint="eastAsia" w:ascii="宋体" w:hAnsi="宋体" w:eastAsia="宋体" w:cs="楷体"/>
          <w:sz w:val="24"/>
        </w:rPr>
        <w:t>年1月</w:t>
      </w:r>
      <w:r>
        <w:rPr>
          <w:rFonts w:ascii="宋体" w:hAnsi="宋体" w:eastAsia="宋体" w:cs="楷体"/>
          <w:sz w:val="24"/>
        </w:rPr>
        <w:t>起</w:t>
      </w:r>
      <w:r>
        <w:rPr>
          <w:rFonts w:hint="eastAsia" w:ascii="宋体" w:hAnsi="宋体" w:eastAsia="宋体" w:cs="楷体"/>
          <w:sz w:val="24"/>
        </w:rPr>
        <w:t>，服务期为半年（自合同签定日起）。</w:t>
      </w:r>
      <w:r>
        <w:rPr>
          <w:rFonts w:hint="eastAsia" w:ascii="宋体" w:hAnsi="宋体" w:eastAsia="宋体" w:cs="楷体"/>
          <w:b/>
          <w:bCs/>
          <w:sz w:val="24"/>
          <w:lang w:val="zh-CN"/>
        </w:rPr>
        <w:t xml:space="preserve"> </w:t>
      </w:r>
    </w:p>
    <w:p w14:paraId="232D36D3">
      <w:pPr>
        <w:autoSpaceDE w:val="0"/>
        <w:autoSpaceDN w:val="0"/>
        <w:adjustRightInd w:val="0"/>
        <w:spacing w:line="360" w:lineRule="auto"/>
        <w:rPr>
          <w:rFonts w:ascii="宋体" w:hAnsi="宋体" w:eastAsia="宋体" w:cs="楷体"/>
          <w:sz w:val="24"/>
        </w:rPr>
      </w:pPr>
      <w:r>
        <w:rPr>
          <w:rFonts w:hint="eastAsia" w:ascii="宋体" w:hAnsi="宋体" w:eastAsia="宋体" w:cs="楷体"/>
          <w:sz w:val="24"/>
        </w:rPr>
        <w:t>（</w:t>
      </w:r>
      <w:r>
        <w:rPr>
          <w:rFonts w:hint="eastAsia" w:ascii="宋体" w:hAnsi="宋体" w:eastAsia="宋体" w:cs="楷体"/>
          <w:sz w:val="24"/>
          <w:lang w:val="zh-CN"/>
        </w:rPr>
        <w:t>二</w:t>
      </w:r>
      <w:r>
        <w:rPr>
          <w:rFonts w:hint="eastAsia" w:ascii="宋体" w:hAnsi="宋体" w:eastAsia="宋体" w:cs="楷体"/>
          <w:sz w:val="24"/>
        </w:rPr>
        <w:t>）</w:t>
      </w:r>
      <w:r>
        <w:rPr>
          <w:rFonts w:hint="eastAsia" w:ascii="宋体" w:hAnsi="宋体" w:eastAsia="宋体" w:cs="楷体"/>
          <w:sz w:val="24"/>
          <w:lang w:val="zh-CN"/>
        </w:rPr>
        <w:t>付款方式</w:t>
      </w:r>
      <w:r>
        <w:rPr>
          <w:rFonts w:hint="eastAsia" w:ascii="宋体" w:hAnsi="宋体" w:eastAsia="宋体" w:cs="楷体"/>
          <w:sz w:val="24"/>
        </w:rPr>
        <w:t>:</w:t>
      </w:r>
    </w:p>
    <w:p w14:paraId="4E318176">
      <w:pPr>
        <w:autoSpaceDE w:val="0"/>
        <w:autoSpaceDN w:val="0"/>
        <w:adjustRightInd w:val="0"/>
        <w:spacing w:line="360" w:lineRule="auto"/>
        <w:ind w:firstLine="480" w:firstLineChars="200"/>
        <w:rPr>
          <w:rFonts w:ascii="宋体" w:hAnsi="宋体" w:eastAsia="宋体" w:cs="Times New Roman"/>
          <w:sz w:val="24"/>
        </w:rPr>
      </w:pPr>
      <w:r>
        <w:rPr>
          <w:rFonts w:ascii="宋体" w:hAnsi="宋体" w:eastAsia="宋体" w:cs="楷体"/>
          <w:sz w:val="24"/>
        </w:rPr>
        <w:t>1.</w:t>
      </w:r>
      <w:r>
        <w:rPr>
          <w:rFonts w:hint="eastAsia" w:ascii="宋体" w:hAnsi="宋体" w:eastAsia="宋体" w:cs="楷体"/>
          <w:sz w:val="24"/>
        </w:rPr>
        <w:t>中选单价在</w:t>
      </w:r>
      <w:r>
        <w:rPr>
          <w:rFonts w:hint="eastAsia" w:ascii="宋体" w:hAnsi="宋体" w:eastAsia="宋体" w:cs="Times New Roman"/>
          <w:bCs/>
          <w:sz w:val="24"/>
        </w:rPr>
        <w:t>服务期内保持不变。</w:t>
      </w:r>
    </w:p>
    <w:p w14:paraId="23D402C3">
      <w:pPr>
        <w:autoSpaceDE w:val="0"/>
        <w:autoSpaceDN w:val="0"/>
        <w:adjustRightIn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 每次货物验收合格后，按实际采购数量结款，</w:t>
      </w:r>
      <w:r>
        <w:rPr>
          <w:rFonts w:hint="eastAsia" w:ascii="宋体" w:hAnsi="宋体" w:eastAsia="宋体" w:cs="Times New Roman"/>
          <w:bCs/>
          <w:sz w:val="24"/>
        </w:rPr>
        <w:t>即资料结算价格＝中选单价×实际采购量，且中选单价在服务期内保持不变，</w:t>
      </w:r>
      <w:r>
        <w:rPr>
          <w:rFonts w:hint="eastAsia" w:ascii="宋体" w:hAnsi="宋体" w:eastAsia="宋体" w:cs="Times New Roman"/>
          <w:sz w:val="24"/>
        </w:rPr>
        <w:t>供货方需提供合法有效票据。</w:t>
      </w:r>
    </w:p>
    <w:p w14:paraId="39DD3085">
      <w:pPr>
        <w:widowControl/>
        <w:spacing w:line="360" w:lineRule="auto"/>
        <w:ind w:firstLine="480" w:firstLineChars="200"/>
        <w:jc w:val="left"/>
        <w:rPr>
          <w:rFonts w:ascii="宋体" w:hAnsi="宋体" w:eastAsia="宋体" w:cs="宋体"/>
          <w:bCs/>
          <w:kern w:val="0"/>
          <w:sz w:val="24"/>
        </w:rPr>
      </w:pPr>
      <w:r>
        <w:rPr>
          <w:rFonts w:hint="eastAsia" w:ascii="宋体" w:hAnsi="宋体" w:eastAsia="宋体" w:cs="Times New Roman"/>
          <w:sz w:val="24"/>
        </w:rPr>
        <w:t>3</w:t>
      </w:r>
      <w:r>
        <w:rPr>
          <w:rFonts w:ascii="宋体" w:hAnsi="宋体" w:eastAsia="宋体" w:cs="Times New Roman"/>
          <w:sz w:val="24"/>
        </w:rPr>
        <w:t>.</w:t>
      </w:r>
      <w:r>
        <w:rPr>
          <w:rFonts w:hint="eastAsia" w:ascii="宋体" w:hAnsi="宋体" w:eastAsia="宋体" w:cs="宋体"/>
          <w:bCs/>
          <w:kern w:val="0"/>
          <w:sz w:val="24"/>
        </w:rPr>
        <w:t xml:space="preserve"> 签订合同前，中选人向采购人按合同暂定金额的5%交纳履约保证金，若中选人没有违约行为，且中选人完成项目合同服务期满后1</w:t>
      </w:r>
      <w:r>
        <w:rPr>
          <w:rFonts w:ascii="宋体" w:hAnsi="宋体" w:eastAsia="宋体" w:cs="宋体"/>
          <w:bCs/>
          <w:kern w:val="0"/>
          <w:sz w:val="24"/>
        </w:rPr>
        <w:t>5</w:t>
      </w:r>
      <w:r>
        <w:rPr>
          <w:rFonts w:hint="eastAsia" w:ascii="宋体" w:hAnsi="宋体" w:eastAsia="宋体" w:cs="宋体"/>
          <w:bCs/>
          <w:kern w:val="0"/>
          <w:sz w:val="24"/>
        </w:rPr>
        <w:t>天内无息退还履约保证金。中选人未向采购人缴纳履约保证金，采购人有权拒绝支付应结算款项。</w:t>
      </w:r>
    </w:p>
    <w:p w14:paraId="50420F23">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w:t>
      </w:r>
      <w:r>
        <w:rPr>
          <w:rFonts w:hint="eastAsia" w:ascii="宋体" w:hAnsi="宋体" w:eastAsia="宋体" w:cs="宋体"/>
          <w:sz w:val="24"/>
        </w:rPr>
        <w:t>履约保证金以银行电汇或银行保函或采购人可以接受的其它形式向采购人提交履约保证金。</w:t>
      </w:r>
    </w:p>
    <w:p w14:paraId="1FD620D2">
      <w:pPr>
        <w:widowControl/>
        <w:spacing w:line="360" w:lineRule="auto"/>
        <w:ind w:left="480"/>
        <w:jc w:val="left"/>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w:t>
      </w:r>
      <w:r>
        <w:rPr>
          <w:rFonts w:hint="eastAsia" w:ascii="宋体" w:hAnsi="宋体" w:eastAsia="宋体" w:cs="宋体"/>
          <w:sz w:val="24"/>
        </w:rPr>
        <w:t>不予退还的情形：</w:t>
      </w:r>
    </w:p>
    <w:p w14:paraId="1472E614">
      <w:pPr>
        <w:widowControl/>
        <w:numPr>
          <w:ilvl w:val="255"/>
          <w:numId w:val="0"/>
        </w:numPr>
        <w:spacing w:line="360" w:lineRule="auto"/>
        <w:ind w:firstLine="480" w:firstLineChars="200"/>
        <w:jc w:val="left"/>
        <w:rPr>
          <w:rFonts w:ascii="宋体" w:hAnsi="宋体" w:eastAsia="宋体" w:cs="宋体"/>
          <w:sz w:val="24"/>
        </w:rPr>
      </w:pPr>
      <w:r>
        <w:rPr>
          <w:rFonts w:hint="eastAsia" w:ascii="宋体" w:hAnsi="宋体" w:eastAsia="宋体" w:cs="宋体"/>
          <w:sz w:val="24"/>
        </w:rPr>
        <w:t>（1）如中选人未能履行合同规定的义务，采购人有权按照合同的约定从履约保证金进行相应扣除。中选人应在采购人扣除履约保证金之日起5个工作日内，及时补充扣除部分金额。</w:t>
      </w:r>
    </w:p>
    <w:p w14:paraId="5E978A77">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（2）如中选人不履行合同，或履行合同义务不符合约定使得合同目的不能实现，履约保证金不予退还。</w:t>
      </w:r>
    </w:p>
    <w:p w14:paraId="6A7EB82B">
      <w:pPr>
        <w:autoSpaceDE w:val="0"/>
        <w:autoSpaceDN w:val="0"/>
        <w:adjustRightInd w:val="0"/>
        <w:spacing w:line="360" w:lineRule="auto"/>
        <w:rPr>
          <w:rFonts w:ascii="宋体" w:hAnsi="宋体" w:eastAsia="宋体" w:cs="楷体"/>
          <w:sz w:val="24"/>
        </w:rPr>
      </w:pPr>
      <w:r>
        <w:rPr>
          <w:rFonts w:hint="eastAsia" w:ascii="宋体" w:hAnsi="宋体" w:eastAsia="宋体" w:cs="楷体"/>
          <w:sz w:val="24"/>
        </w:rPr>
        <w:t>（三）验收</w:t>
      </w:r>
    </w:p>
    <w:p w14:paraId="6D584722">
      <w:pPr>
        <w:autoSpaceDE w:val="0"/>
        <w:autoSpaceDN w:val="0"/>
        <w:adjustRightInd w:val="0"/>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中选人负责将采购人所订购的资料，在双方约定的时间发送至采购人指定地点，双方当面清点验收，并签好验收单。如果资料有质量问题，中选人负责无条件更换，并同时装箱清单交付采购人，运杂费由中选人支付。</w:t>
      </w:r>
    </w:p>
    <w:p w14:paraId="3B0B3145">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2、验收由采购人及中选人共同进行。在采购人现场验收所发生的一切费用由中选人承担。验收合格后，数量按实际数量，单价按中标下浮率进行结算。</w:t>
      </w:r>
    </w:p>
    <w:p w14:paraId="04327279">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货物有包装的，货物的包装必须完整清洁〔无损、无污、无皱〕，采购人有权拒收包装不整齐、已拆封的商品。采购人发现商品出现损坏〔包括表面损坏〕，或出现水渍、串味、受潮等导致货物性质改变的，中选人必须无条件退货或更换商品。</w:t>
      </w:r>
    </w:p>
    <w:p w14:paraId="16FAB86F">
      <w:pPr>
        <w:autoSpaceDE w:val="0"/>
        <w:autoSpaceDN w:val="0"/>
        <w:adjustRightInd w:val="0"/>
        <w:spacing w:line="360" w:lineRule="auto"/>
        <w:rPr>
          <w:rFonts w:ascii="宋体" w:hAnsi="宋体" w:eastAsia="宋体" w:cs="楷体"/>
          <w:sz w:val="24"/>
          <w:lang w:val="zh-CN"/>
        </w:rPr>
      </w:pPr>
      <w:r>
        <w:rPr>
          <w:rFonts w:hint="eastAsia" w:ascii="宋体" w:hAnsi="宋体" w:eastAsia="宋体" w:cs="楷体"/>
          <w:sz w:val="24"/>
          <w:lang w:val="zh-CN"/>
        </w:rPr>
        <w:t>（四）售后服务（提供服务方案并加盖公章）</w:t>
      </w:r>
    </w:p>
    <w:p w14:paraId="2430095E">
      <w:pPr>
        <w:autoSpaceDE w:val="0"/>
        <w:autoSpaceDN w:val="0"/>
        <w:adjustRightInd w:val="0"/>
        <w:spacing w:line="360" w:lineRule="auto"/>
        <w:ind w:firstLine="240" w:firstLineChars="100"/>
        <w:rPr>
          <w:rFonts w:ascii="宋体" w:hAnsi="宋体" w:eastAsia="宋体" w:cs="楷体"/>
          <w:sz w:val="24"/>
          <w:lang w:val="zh-CN"/>
        </w:rPr>
      </w:pPr>
      <w:r>
        <w:rPr>
          <w:rFonts w:hint="eastAsia" w:ascii="宋体" w:hAnsi="宋体" w:eastAsia="宋体" w:cs="楷体"/>
          <w:sz w:val="24"/>
        </w:rPr>
        <w:t>1.</w:t>
      </w:r>
      <w:r>
        <w:rPr>
          <w:rFonts w:ascii="宋体" w:hAnsi="宋体" w:eastAsia="宋体" w:cs="楷体"/>
          <w:sz w:val="24"/>
        </w:rPr>
        <w:t>开学前将学校所订购的所有资料送到学校指定地点同时承担相应的运输成本</w:t>
      </w:r>
      <w:r>
        <w:rPr>
          <w:rFonts w:hint="eastAsia" w:ascii="宋体" w:hAnsi="宋体" w:eastAsia="宋体" w:cs="楷体"/>
          <w:sz w:val="24"/>
        </w:rPr>
        <w:t>；</w:t>
      </w:r>
    </w:p>
    <w:p w14:paraId="4148AFB9">
      <w:pPr>
        <w:autoSpaceDE w:val="0"/>
        <w:autoSpaceDN w:val="0"/>
        <w:adjustRightInd w:val="0"/>
        <w:spacing w:line="360" w:lineRule="auto"/>
        <w:ind w:firstLine="240" w:firstLineChars="100"/>
        <w:rPr>
          <w:rFonts w:ascii="宋体" w:hAnsi="宋体" w:eastAsia="宋体" w:cs="楷体"/>
          <w:sz w:val="24"/>
        </w:rPr>
      </w:pPr>
      <w:r>
        <w:rPr>
          <w:rFonts w:hint="eastAsia" w:ascii="宋体" w:hAnsi="宋体" w:eastAsia="宋体" w:cs="楷体"/>
          <w:sz w:val="24"/>
        </w:rPr>
        <w:t>2.免费提供教师用资料及相关的辅导资料等教学资源，以及教师需要使用的学生资料；</w:t>
      </w:r>
    </w:p>
    <w:p w14:paraId="083C1456">
      <w:pPr>
        <w:autoSpaceDE w:val="0"/>
        <w:autoSpaceDN w:val="0"/>
        <w:adjustRightInd w:val="0"/>
        <w:spacing w:line="360" w:lineRule="auto"/>
        <w:ind w:firstLine="240" w:firstLineChars="100"/>
        <w:rPr>
          <w:rFonts w:ascii="宋体" w:hAnsi="宋体" w:eastAsia="宋体" w:cs="楷体"/>
          <w:sz w:val="24"/>
        </w:rPr>
      </w:pPr>
      <w:r>
        <w:rPr>
          <w:rFonts w:hint="eastAsia" w:ascii="宋体" w:hAnsi="宋体" w:eastAsia="宋体" w:cs="楷体"/>
          <w:sz w:val="24"/>
        </w:rPr>
        <w:t>3.每学期组织一到两次教师参加免费的相关资料培训或专题培训等指导活动；</w:t>
      </w:r>
    </w:p>
    <w:p w14:paraId="08ADBE30">
      <w:pPr>
        <w:autoSpaceDE w:val="0"/>
        <w:autoSpaceDN w:val="0"/>
        <w:adjustRightInd w:val="0"/>
        <w:spacing w:line="360" w:lineRule="auto"/>
        <w:ind w:firstLine="240" w:firstLineChars="100"/>
        <w:rPr>
          <w:rFonts w:ascii="宋体" w:hAnsi="宋体" w:eastAsia="宋体" w:cs="楷体"/>
          <w:sz w:val="24"/>
        </w:rPr>
      </w:pPr>
      <w:r>
        <w:rPr>
          <w:rFonts w:hint="eastAsia" w:ascii="宋体" w:hAnsi="宋体" w:eastAsia="宋体" w:cs="楷体"/>
          <w:sz w:val="24"/>
        </w:rPr>
        <w:t>4.提供网上平台客户在线服务，让学校老师随时能下载所需的教师资源，组织在线沟通交流等活动，让学生和家长能免费下载相关资料，音频，练习测试题等；</w:t>
      </w:r>
    </w:p>
    <w:p w14:paraId="6166172B">
      <w:pPr>
        <w:autoSpaceDE w:val="0"/>
        <w:autoSpaceDN w:val="0"/>
        <w:adjustRightInd w:val="0"/>
        <w:spacing w:line="360" w:lineRule="auto"/>
        <w:ind w:firstLine="240" w:firstLineChars="100"/>
        <w:rPr>
          <w:rFonts w:ascii="宋体" w:hAnsi="宋体" w:eastAsia="宋体" w:cs="楷体"/>
          <w:sz w:val="24"/>
        </w:rPr>
      </w:pPr>
      <w:r>
        <w:rPr>
          <w:rFonts w:hint="eastAsia" w:ascii="宋体" w:hAnsi="宋体" w:eastAsia="宋体" w:cs="楷体"/>
          <w:sz w:val="24"/>
        </w:rPr>
        <w:t>5.根据学校需要，每学期免费提供课外读物样书给老师，音频，有电子阅读书的需要提供在线阅读账号给老师；</w:t>
      </w:r>
    </w:p>
    <w:p w14:paraId="4F6C7CDC">
      <w:pPr>
        <w:autoSpaceDE w:val="0"/>
        <w:autoSpaceDN w:val="0"/>
        <w:adjustRightInd w:val="0"/>
        <w:spacing w:line="360" w:lineRule="auto"/>
        <w:ind w:firstLine="240" w:firstLineChars="100"/>
        <w:rPr>
          <w:rFonts w:ascii="宋体" w:hAnsi="宋体" w:eastAsia="宋体" w:cs="楷体"/>
          <w:sz w:val="24"/>
        </w:rPr>
      </w:pPr>
      <w:r>
        <w:rPr>
          <w:rFonts w:hint="eastAsia" w:ascii="宋体" w:hAnsi="宋体" w:eastAsia="宋体" w:cs="楷体"/>
          <w:sz w:val="24"/>
        </w:rPr>
        <w:t>6.其他服务承诺。</w:t>
      </w:r>
    </w:p>
    <w:p w14:paraId="7914B9CC">
      <w:pPr>
        <w:pStyle w:val="8"/>
        <w:widowControl/>
        <w:numPr>
          <w:ilvl w:val="0"/>
          <w:numId w:val="1"/>
        </w:numPr>
        <w:shd w:val="clear" w:color="auto" w:fill="FFFFFF"/>
        <w:spacing w:line="360" w:lineRule="auto"/>
        <w:ind w:right="-340" w:rightChars="-162" w:firstLineChars="0"/>
        <w:jc w:val="left"/>
        <w:rPr>
          <w:rFonts w:ascii="宋体" w:hAnsi="宋体" w:eastAsia="宋体" w:cs="Arial"/>
          <w:bCs/>
          <w:kern w:val="0"/>
          <w:sz w:val="24"/>
        </w:rPr>
      </w:pPr>
      <w:r>
        <w:rPr>
          <w:rFonts w:hint="eastAsia" w:ascii="宋体" w:hAnsi="宋体" w:eastAsia="宋体" w:cs="Arial"/>
          <w:bCs/>
          <w:kern w:val="0"/>
          <w:sz w:val="24"/>
        </w:rPr>
        <w:t>其他要求</w:t>
      </w:r>
    </w:p>
    <w:p w14:paraId="1A7F7A8F">
      <w:pPr>
        <w:autoSpaceDE w:val="0"/>
        <w:autoSpaceDN w:val="0"/>
        <w:adjustRightInd w:val="0"/>
        <w:spacing w:line="360" w:lineRule="auto"/>
        <w:rPr>
          <w:rFonts w:ascii="宋体" w:hAnsi="宋体" w:eastAsia="宋体" w:cs="楷体"/>
          <w:b/>
          <w:sz w:val="24"/>
        </w:rPr>
      </w:pPr>
      <w:r>
        <w:rPr>
          <w:rFonts w:hint="eastAsia" w:ascii="宋体" w:hAnsi="宋体" w:eastAsia="宋体" w:cs="楷体"/>
          <w:b/>
          <w:sz w:val="24"/>
        </w:rPr>
        <w:t>（一）违约责任</w:t>
      </w:r>
    </w:p>
    <w:p w14:paraId="43367546">
      <w:pPr>
        <w:autoSpaceDE w:val="0"/>
        <w:autoSpaceDN w:val="0"/>
        <w:adjustRightInd w:val="0"/>
        <w:spacing w:line="360" w:lineRule="auto"/>
        <w:ind w:left="105" w:leftChars="50" w:firstLine="480" w:firstLineChars="200"/>
        <w:rPr>
          <w:rFonts w:ascii="宋体" w:hAnsi="宋体" w:eastAsia="宋体" w:cs="楷体"/>
          <w:sz w:val="24"/>
        </w:rPr>
      </w:pPr>
      <w:r>
        <w:rPr>
          <w:rFonts w:hint="eastAsia" w:ascii="宋体" w:hAnsi="宋体" w:eastAsia="宋体" w:cs="楷体"/>
          <w:sz w:val="24"/>
        </w:rPr>
        <w:t>1、一旦发现中选人提供的资料是盗版，中选人须立即停止供应活动，退回当季所收书款。同时由中选人按当季所得书款总额的5倍支付赔偿款，并由中选人承担由此而引起的一切经济责任和法律责任。</w:t>
      </w:r>
    </w:p>
    <w:p w14:paraId="0D1BCD5E">
      <w:pPr>
        <w:autoSpaceDE w:val="0"/>
        <w:autoSpaceDN w:val="0"/>
        <w:adjustRightInd w:val="0"/>
        <w:spacing w:line="360" w:lineRule="auto"/>
        <w:ind w:left="105" w:leftChars="50" w:firstLine="480" w:firstLineChars="200"/>
        <w:rPr>
          <w:rFonts w:ascii="宋体" w:hAnsi="宋体" w:eastAsia="宋体" w:cs="楷体"/>
          <w:sz w:val="24"/>
        </w:rPr>
      </w:pPr>
      <w:r>
        <w:rPr>
          <w:rFonts w:hint="eastAsia" w:ascii="宋体" w:hAnsi="宋体" w:eastAsia="宋体" w:cs="楷体"/>
          <w:sz w:val="24"/>
        </w:rPr>
        <w:t>2、中选人如果未在资料使用日期到货而耽误教学的，按当季所收书款的0.3%/天/品种赔偿采购人由此而造成的损失，并可在履约保证金中抵扣支付。</w:t>
      </w:r>
    </w:p>
    <w:p w14:paraId="62F63883">
      <w:pPr>
        <w:autoSpaceDE w:val="0"/>
        <w:autoSpaceDN w:val="0"/>
        <w:adjustRightInd w:val="0"/>
        <w:spacing w:line="360" w:lineRule="auto"/>
        <w:ind w:left="105" w:leftChars="50" w:firstLine="480" w:firstLineChars="200"/>
        <w:rPr>
          <w:rFonts w:ascii="宋体" w:hAnsi="宋体" w:eastAsia="宋体" w:cs="楷体"/>
          <w:sz w:val="24"/>
        </w:rPr>
      </w:pPr>
      <w:r>
        <w:rPr>
          <w:rFonts w:hint="eastAsia" w:ascii="宋体" w:hAnsi="宋体" w:eastAsia="宋体" w:cs="楷体"/>
          <w:sz w:val="24"/>
        </w:rPr>
        <w:t>3、中选人确因特殊原因未能按时找到相应资料，若采购人可以从其它渠道取得时，中选人须按采购人的要求和提供的折扣负责取货，并与资料提供人结算；否则，自采购人发出提货要求之日起到中选人供应该资料时止，当季所收书款的0.3%/天/品种的标准支付违约金给采购人。</w:t>
      </w:r>
    </w:p>
    <w:p w14:paraId="472C99D3">
      <w:pPr>
        <w:autoSpaceDE w:val="0"/>
        <w:autoSpaceDN w:val="0"/>
        <w:adjustRightInd w:val="0"/>
        <w:spacing w:line="360" w:lineRule="auto"/>
        <w:rPr>
          <w:rFonts w:ascii="宋体" w:hAnsi="宋体" w:eastAsia="宋体" w:cs="楷体"/>
          <w:b/>
          <w:sz w:val="24"/>
        </w:rPr>
      </w:pPr>
      <w:r>
        <w:rPr>
          <w:rFonts w:hint="eastAsia" w:ascii="宋体" w:hAnsi="宋体" w:eastAsia="宋体" w:cs="楷体"/>
          <w:b/>
          <w:sz w:val="24"/>
        </w:rPr>
        <w:t>（二）</w:t>
      </w:r>
      <w:r>
        <w:rPr>
          <w:rFonts w:hint="eastAsia" w:ascii="宋体" w:hAnsi="宋体" w:eastAsia="宋体" w:cs="楷体"/>
          <w:b/>
          <w:bCs/>
          <w:sz w:val="24"/>
        </w:rPr>
        <w:t>合同的履行</w:t>
      </w:r>
    </w:p>
    <w:p w14:paraId="324505FB">
      <w:pPr>
        <w:autoSpaceDE w:val="0"/>
        <w:autoSpaceDN w:val="0"/>
        <w:adjustRightInd w:val="0"/>
        <w:spacing w:line="360" w:lineRule="auto"/>
        <w:ind w:firstLine="360" w:firstLineChars="150"/>
        <w:rPr>
          <w:rFonts w:ascii="宋体" w:hAnsi="宋体" w:eastAsia="宋体" w:cs="楷体"/>
          <w:bCs/>
          <w:sz w:val="24"/>
        </w:rPr>
      </w:pPr>
      <w:r>
        <w:rPr>
          <w:rFonts w:hint="eastAsia" w:ascii="宋体" w:hAnsi="宋体" w:eastAsia="宋体" w:cs="楷体"/>
          <w:sz w:val="24"/>
        </w:rPr>
        <w:t>1、对不能按要求、按承诺履行供货协议的中选人，采购人有权取消其供货资格，终止合同。</w:t>
      </w:r>
    </w:p>
    <w:p w14:paraId="20F85EAA">
      <w:pPr>
        <w:autoSpaceDE w:val="0"/>
        <w:autoSpaceDN w:val="0"/>
        <w:adjustRightInd w:val="0"/>
        <w:spacing w:line="360" w:lineRule="auto"/>
        <w:ind w:firstLine="360" w:firstLineChars="150"/>
        <w:rPr>
          <w:rFonts w:ascii="宋体" w:hAnsi="宋体" w:eastAsia="宋体" w:cs="楷体"/>
          <w:sz w:val="24"/>
        </w:rPr>
      </w:pPr>
      <w:r>
        <w:rPr>
          <w:rFonts w:hint="eastAsia" w:ascii="宋体" w:hAnsi="宋体" w:eastAsia="宋体" w:cs="楷体"/>
          <w:sz w:val="24"/>
        </w:rPr>
        <w:t>2、中选人未经采购人批准，不得以任何方式转包或分包本项；</w:t>
      </w:r>
    </w:p>
    <w:p w14:paraId="2EE3F6C5">
      <w:pPr>
        <w:autoSpaceDE w:val="0"/>
        <w:autoSpaceDN w:val="0"/>
        <w:adjustRightInd w:val="0"/>
        <w:spacing w:line="360" w:lineRule="auto"/>
        <w:ind w:firstLine="360" w:firstLineChars="150"/>
        <w:rPr>
          <w:rFonts w:ascii="宋体" w:hAnsi="宋体" w:eastAsia="宋体" w:cs="楷体"/>
          <w:sz w:val="24"/>
        </w:rPr>
      </w:pPr>
      <w:r>
        <w:rPr>
          <w:rFonts w:hint="eastAsia" w:ascii="宋体" w:hAnsi="宋体" w:eastAsia="宋体" w:cs="楷体"/>
          <w:sz w:val="24"/>
        </w:rPr>
        <w:t>3、采购合同订立后，合同各方不得擅自变更、中止或者终止合同。采购合同需要变更的，采购人应将有关合同变更内容，以书面形式报相关部门备案；因特殊情况需要中止或终止合同，采购人应将中止或终止合同的理由以及相应措施，以书面形式报相关部门备案。</w:t>
      </w:r>
      <w:bookmarkEnd w:id="1"/>
    </w:p>
    <w:p w14:paraId="5F758844">
      <w:pPr>
        <w:pStyle w:val="8"/>
        <w:widowControl/>
        <w:numPr>
          <w:ilvl w:val="0"/>
          <w:numId w:val="1"/>
        </w:numPr>
        <w:shd w:val="clear" w:color="auto" w:fill="FFFFFF"/>
        <w:spacing w:line="360" w:lineRule="auto"/>
        <w:ind w:right="-340" w:rightChars="-162" w:firstLineChars="0"/>
        <w:jc w:val="left"/>
        <w:rPr>
          <w:rFonts w:ascii="宋体" w:hAnsi="宋体" w:eastAsia="宋体" w:cs="Arial"/>
          <w:bCs/>
          <w:kern w:val="0"/>
          <w:sz w:val="24"/>
        </w:rPr>
      </w:pPr>
      <w:r>
        <w:rPr>
          <w:rFonts w:hint="eastAsia" w:ascii="宋体" w:hAnsi="宋体" w:eastAsia="宋体" w:cs="Arial"/>
          <w:bCs/>
          <w:kern w:val="0"/>
          <w:sz w:val="24"/>
        </w:rPr>
        <w:t>参选供应商资格</w:t>
      </w:r>
      <w:r>
        <w:rPr>
          <w:rFonts w:ascii="宋体" w:hAnsi="宋体" w:eastAsia="宋体" w:cs="Arial"/>
          <w:bCs/>
          <w:kern w:val="0"/>
          <w:sz w:val="24"/>
        </w:rPr>
        <w:t xml:space="preserve"> </w:t>
      </w:r>
    </w:p>
    <w:p w14:paraId="59A09182">
      <w:pPr>
        <w:spacing w:line="360" w:lineRule="auto"/>
        <w:ind w:firstLine="480" w:firstLineChars="200"/>
        <w:rPr>
          <w:rFonts w:ascii="宋体" w:hAnsi="宋体" w:eastAsia="宋体" w:cs="宋体"/>
          <w:sz w:val="24"/>
        </w:rPr>
      </w:pPr>
      <w:r>
        <w:rPr>
          <w:rFonts w:hint="eastAsia" w:ascii="宋体" w:hAnsi="宋体" w:eastAsia="宋体" w:cs="宋体"/>
          <w:sz w:val="24"/>
        </w:rPr>
        <w:t>（一）参选人具有独立法人资格，具有独立承担民事责任的能力；持有工商行政管理部门核发的法人营业执照，按国家法律经营。（提供营业执照复印件）</w:t>
      </w:r>
    </w:p>
    <w:p w14:paraId="1E915FCB">
      <w:pPr>
        <w:spacing w:line="360" w:lineRule="auto"/>
        <w:ind w:firstLine="480" w:firstLineChars="200"/>
        <w:rPr>
          <w:rFonts w:ascii="宋体" w:hAnsi="宋体" w:eastAsia="宋体" w:cs="宋体"/>
          <w:sz w:val="24"/>
        </w:rPr>
      </w:pPr>
      <w:r>
        <w:rPr>
          <w:rFonts w:hint="eastAsia" w:ascii="宋体" w:hAnsi="宋体" w:eastAsia="宋体" w:cs="宋体"/>
          <w:sz w:val="24"/>
        </w:rPr>
        <w:t>（二）参选人具有良好的商业信誉和健全的财务会计制度；（提供近一年内任一年度的财务状况报告复印件或提供银行出具的资信证明材料复印件）</w:t>
      </w:r>
    </w:p>
    <w:p w14:paraId="36905DAE">
      <w:pPr>
        <w:spacing w:line="360" w:lineRule="auto"/>
        <w:ind w:firstLine="480" w:firstLineChars="200"/>
        <w:jc w:val="left"/>
        <w:rPr>
          <w:rFonts w:ascii="宋体" w:hAnsi="宋体" w:eastAsia="宋体" w:cs="宋体"/>
          <w:sz w:val="24"/>
        </w:rPr>
      </w:pPr>
      <w:r>
        <w:rPr>
          <w:rFonts w:hint="eastAsia" w:ascii="宋体" w:hAnsi="宋体" w:eastAsia="宋体" w:cs="宋体"/>
          <w:sz w:val="24"/>
        </w:rPr>
        <w:t>（三）参选人提供近两年</w:t>
      </w:r>
      <w:r>
        <w:rPr>
          <w:rFonts w:ascii="宋体" w:hAnsi="宋体" w:eastAsia="宋体" w:cs="宋体"/>
          <w:sz w:val="24"/>
        </w:rPr>
        <w:t>完成的同类型项目业绩</w:t>
      </w:r>
      <w:r>
        <w:rPr>
          <w:rFonts w:hint="eastAsia" w:ascii="宋体" w:hAnsi="宋体" w:eastAsia="宋体" w:cs="宋体"/>
          <w:sz w:val="24"/>
        </w:rPr>
        <w:t>及合同的买方（甲方）单位对其服务质量评价，且评价内容须为满意或优等类似的正面满意度评价材料，不得少于</w:t>
      </w:r>
      <w:r>
        <w:rPr>
          <w:rFonts w:ascii="宋体" w:hAnsi="宋体" w:eastAsia="宋体" w:cs="宋体"/>
          <w:sz w:val="24"/>
        </w:rPr>
        <w:t>3</w:t>
      </w:r>
      <w:r>
        <w:rPr>
          <w:rFonts w:hint="eastAsia" w:ascii="宋体" w:hAnsi="宋体" w:eastAsia="宋体" w:cs="宋体"/>
          <w:sz w:val="24"/>
        </w:rPr>
        <w:t>份。（合同以签订时间为准，须提供合同关键页复印件并加盖参选人公章；评价为同一买方（甲方）单位的，只计算为一个评价，且需盖有合同的买方（甲方）单位公章，如：部门章、处室章等）。</w:t>
      </w:r>
    </w:p>
    <w:p w14:paraId="12E36EF9">
      <w:pPr>
        <w:spacing w:line="360" w:lineRule="auto"/>
        <w:ind w:firstLine="480" w:firstLineChars="200"/>
        <w:rPr>
          <w:rFonts w:ascii="宋体" w:hAnsi="宋体" w:eastAsia="宋体" w:cs="宋体"/>
          <w:sz w:val="24"/>
        </w:rPr>
      </w:pPr>
      <w:r>
        <w:rPr>
          <w:rFonts w:hint="eastAsia" w:ascii="宋体" w:hAnsi="宋体" w:eastAsia="宋体" w:cs="宋体"/>
          <w:sz w:val="24"/>
        </w:rPr>
        <w:t>（四）参选人有依法缴纳税收和社会保障资金的良好记录；（提供纳税证明及缴纳社会保障资金材料复印件，如依法免税和依法不需要缴纳社会保障资金的，应提供相应证明文件）</w:t>
      </w:r>
    </w:p>
    <w:p w14:paraId="19BC33BC">
      <w:pPr>
        <w:spacing w:line="360" w:lineRule="auto"/>
        <w:ind w:firstLine="480" w:firstLineChars="200"/>
        <w:rPr>
          <w:rFonts w:ascii="宋体" w:hAnsi="宋体" w:eastAsia="宋体" w:cs="宋体"/>
          <w:sz w:val="24"/>
        </w:rPr>
      </w:pPr>
      <w:r>
        <w:rPr>
          <w:rFonts w:hint="eastAsia" w:ascii="宋体" w:hAnsi="宋体" w:eastAsia="宋体" w:cs="宋体"/>
          <w:sz w:val="24"/>
        </w:rPr>
        <w:t>（五）参选人提供在经营活动中没有重大违法记录的书面声明（截至提交参投文件截止日成立不足3年的参选人可提供自成立以来无重大违法记录的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参选人自行编写，加盖投标单位公章）。</w:t>
      </w:r>
    </w:p>
    <w:p w14:paraId="3350FFF5">
      <w:pPr>
        <w:spacing w:line="360" w:lineRule="auto"/>
        <w:ind w:firstLine="480" w:firstLineChars="200"/>
        <w:rPr>
          <w:rFonts w:ascii="宋体" w:hAnsi="宋体" w:eastAsia="宋体" w:cs="宋体"/>
          <w:sz w:val="24"/>
        </w:rPr>
      </w:pPr>
      <w:r>
        <w:rPr>
          <w:rFonts w:hint="eastAsia" w:ascii="宋体" w:hAnsi="宋体" w:eastAsia="宋体" w:cs="宋体"/>
          <w:sz w:val="24"/>
        </w:rPr>
        <w:t>（六）已报名登记。</w:t>
      </w:r>
    </w:p>
    <w:p w14:paraId="5A0D80F5">
      <w:pPr>
        <w:spacing w:line="360" w:lineRule="auto"/>
        <w:ind w:firstLine="480" w:firstLineChars="200"/>
        <w:rPr>
          <w:rFonts w:ascii="宋体" w:hAnsi="宋体" w:eastAsia="宋体" w:cs="宋体"/>
          <w:sz w:val="24"/>
        </w:rPr>
      </w:pPr>
      <w:r>
        <w:rPr>
          <w:rFonts w:hint="eastAsia" w:ascii="宋体" w:hAnsi="宋体" w:eastAsia="宋体" w:cs="宋体"/>
          <w:sz w:val="24"/>
        </w:rPr>
        <w:t>（七）本项目不接受联合体投标。（提供声明，格式自拟）</w:t>
      </w:r>
    </w:p>
    <w:p w14:paraId="3E6251DD">
      <w:pPr>
        <w:spacing w:line="360" w:lineRule="auto"/>
        <w:ind w:firstLine="480" w:firstLineChars="200"/>
        <w:rPr>
          <w:rFonts w:ascii="宋体" w:hAnsi="宋体" w:eastAsia="宋体" w:cs="宋体"/>
          <w:sz w:val="24"/>
        </w:rPr>
      </w:pPr>
      <w:r>
        <w:rPr>
          <w:rFonts w:hint="eastAsia" w:ascii="宋体" w:hAnsi="宋体" w:eastAsia="宋体" w:cs="宋体"/>
          <w:sz w:val="24"/>
        </w:rPr>
        <w:t>八、报价</w:t>
      </w:r>
    </w:p>
    <w:tbl>
      <w:tblPr>
        <w:tblStyle w:val="5"/>
        <w:tblpPr w:leftFromText="180" w:rightFromText="180" w:vertAnchor="text" w:horzAnchor="margin" w:tblpX="-431" w:tblpY="158"/>
        <w:tblW w:w="5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603"/>
        <w:gridCol w:w="2179"/>
        <w:gridCol w:w="1161"/>
        <w:gridCol w:w="1163"/>
        <w:gridCol w:w="1455"/>
        <w:gridCol w:w="1161"/>
        <w:gridCol w:w="1163"/>
      </w:tblGrid>
      <w:tr w14:paraId="6BE5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276" w:type="pct"/>
            <w:shd w:val="clear" w:color="auto" w:fill="auto"/>
            <w:vAlign w:val="center"/>
          </w:tcPr>
          <w:p w14:paraId="47017519">
            <w:r>
              <w:rPr>
                <w:rFonts w:hint="eastAsia"/>
              </w:rPr>
              <w:t>序号</w:t>
            </w:r>
          </w:p>
        </w:tc>
        <w:tc>
          <w:tcPr>
            <w:tcW w:w="766" w:type="pct"/>
            <w:shd w:val="clear" w:color="auto" w:fill="auto"/>
            <w:vAlign w:val="center"/>
          </w:tcPr>
          <w:p w14:paraId="2FA1741A">
            <w:pPr>
              <w:rPr>
                <w:sz w:val="24"/>
              </w:rPr>
            </w:pPr>
            <w:r>
              <w:rPr>
                <w:rFonts w:hint="eastAsia"/>
                <w:sz w:val="24"/>
              </w:rPr>
              <w:t>货物名称</w:t>
            </w:r>
          </w:p>
        </w:tc>
        <w:tc>
          <w:tcPr>
            <w:tcW w:w="1041" w:type="pct"/>
            <w:shd w:val="clear" w:color="auto" w:fill="auto"/>
            <w:vAlign w:val="center"/>
          </w:tcPr>
          <w:p w14:paraId="2C76E578">
            <w:pPr>
              <w:ind w:firstLine="240" w:firstLineChars="100"/>
              <w:rPr>
                <w:sz w:val="24"/>
              </w:rPr>
            </w:pPr>
            <w:r>
              <w:rPr>
                <w:sz w:val="24"/>
              </w:rPr>
              <w:t>书</w:t>
            </w:r>
            <w:r>
              <w:rPr>
                <w:rFonts w:hint="eastAsia"/>
                <w:sz w:val="24"/>
              </w:rPr>
              <w:t xml:space="preserve"> </w:t>
            </w:r>
            <w:r>
              <w:rPr>
                <w:sz w:val="24"/>
              </w:rPr>
              <w:t>号</w:t>
            </w:r>
          </w:p>
        </w:tc>
        <w:tc>
          <w:tcPr>
            <w:tcW w:w="555" w:type="pct"/>
            <w:shd w:val="clear" w:color="auto" w:fill="auto"/>
            <w:vAlign w:val="center"/>
          </w:tcPr>
          <w:p w14:paraId="25B670B8">
            <w:pPr>
              <w:rPr>
                <w:szCs w:val="21"/>
              </w:rPr>
            </w:pPr>
            <w:r>
              <w:rPr>
                <w:rFonts w:hint="eastAsia"/>
                <w:szCs w:val="21"/>
              </w:rPr>
              <w:t>数量（本）</w:t>
            </w:r>
          </w:p>
        </w:tc>
        <w:tc>
          <w:tcPr>
            <w:tcW w:w="556" w:type="pct"/>
          </w:tcPr>
          <w:p w14:paraId="3D1B7A65">
            <w:pPr>
              <w:rPr>
                <w:szCs w:val="21"/>
              </w:rPr>
            </w:pPr>
            <w:r>
              <w:rPr>
                <w:rFonts w:hint="eastAsia"/>
                <w:szCs w:val="21"/>
              </w:rPr>
              <w:t>最高限价（元/本）</w:t>
            </w:r>
          </w:p>
        </w:tc>
        <w:tc>
          <w:tcPr>
            <w:tcW w:w="695" w:type="pct"/>
            <w:shd w:val="clear" w:color="auto" w:fill="auto"/>
            <w:vAlign w:val="center"/>
          </w:tcPr>
          <w:p w14:paraId="2A78D9BF">
            <w:pPr>
              <w:rPr>
                <w:szCs w:val="21"/>
              </w:rPr>
            </w:pPr>
            <w:r>
              <w:rPr>
                <w:rFonts w:hint="eastAsia"/>
                <w:szCs w:val="21"/>
              </w:rPr>
              <w:t>报价（元/本）</w:t>
            </w:r>
          </w:p>
        </w:tc>
        <w:tc>
          <w:tcPr>
            <w:tcW w:w="555" w:type="pct"/>
            <w:shd w:val="clear" w:color="auto" w:fill="auto"/>
            <w:vAlign w:val="center"/>
          </w:tcPr>
          <w:p w14:paraId="7EDBDBD5">
            <w:pPr>
              <w:rPr>
                <w:szCs w:val="21"/>
              </w:rPr>
            </w:pPr>
            <w:r>
              <w:rPr>
                <w:rFonts w:hint="eastAsia"/>
                <w:szCs w:val="21"/>
              </w:rPr>
              <w:t>小计（元）</w:t>
            </w:r>
          </w:p>
        </w:tc>
        <w:tc>
          <w:tcPr>
            <w:tcW w:w="556" w:type="pct"/>
            <w:shd w:val="clear" w:color="auto" w:fill="auto"/>
            <w:vAlign w:val="center"/>
          </w:tcPr>
          <w:p w14:paraId="3C825801">
            <w:pPr>
              <w:rPr>
                <w:szCs w:val="21"/>
              </w:rPr>
            </w:pPr>
            <w:r>
              <w:rPr>
                <w:rFonts w:hint="eastAsia"/>
                <w:szCs w:val="21"/>
              </w:rPr>
              <w:t>备注</w:t>
            </w:r>
          </w:p>
        </w:tc>
      </w:tr>
      <w:tr w14:paraId="14DC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76" w:type="pct"/>
            <w:shd w:val="clear" w:color="auto" w:fill="auto"/>
            <w:vAlign w:val="center"/>
          </w:tcPr>
          <w:p w14:paraId="07186CF8">
            <w:pPr>
              <w:widowControl/>
              <w:shd w:val="clear" w:color="auto" w:fill="FFFFFF"/>
              <w:spacing w:line="360" w:lineRule="auto"/>
              <w:ind w:right="-340" w:rightChars="-162"/>
              <w:jc w:val="left"/>
              <w:rPr>
                <w:rFonts w:ascii="宋体" w:hAnsi="宋体" w:eastAsia="宋体" w:cs="Arial"/>
                <w:bCs/>
                <w:kern w:val="0"/>
                <w:sz w:val="24"/>
              </w:rPr>
            </w:pPr>
            <w:r>
              <w:rPr>
                <w:rFonts w:hint="eastAsia" w:ascii="宋体" w:hAnsi="宋体" w:eastAsia="宋体" w:cs="Arial"/>
                <w:bCs/>
                <w:kern w:val="0"/>
                <w:sz w:val="24"/>
              </w:rPr>
              <w:t>1</w:t>
            </w:r>
          </w:p>
        </w:tc>
        <w:tc>
          <w:tcPr>
            <w:tcW w:w="766" w:type="pct"/>
            <w:tcBorders>
              <w:top w:val="single" w:color="000000" w:sz="4" w:space="0"/>
              <w:left w:val="single" w:color="000000" w:sz="4" w:space="0"/>
              <w:bottom w:val="single" w:color="000000" w:sz="4" w:space="0"/>
              <w:right w:val="single" w:color="000000" w:sz="4" w:space="0"/>
            </w:tcBorders>
            <w:vAlign w:val="bottom"/>
          </w:tcPr>
          <w:p w14:paraId="0B6264D2">
            <w:r>
              <w:rPr>
                <w:rFonts w:hint="eastAsia"/>
              </w:rPr>
              <w:t xml:space="preserve">新思维小学英语 5B </w:t>
            </w:r>
          </w:p>
        </w:tc>
        <w:tc>
          <w:tcPr>
            <w:tcW w:w="1041" w:type="pct"/>
            <w:tcBorders>
              <w:top w:val="single" w:color="000000" w:sz="4" w:space="0"/>
              <w:left w:val="single" w:color="000000" w:sz="4" w:space="0"/>
              <w:bottom w:val="single" w:color="000000" w:sz="4" w:space="0"/>
              <w:right w:val="single" w:color="000000" w:sz="4" w:space="0"/>
            </w:tcBorders>
            <w:vAlign w:val="center"/>
          </w:tcPr>
          <w:p w14:paraId="6E4561CE">
            <w:r>
              <w:rPr>
                <w:rFonts w:hint="eastAsia"/>
              </w:rPr>
              <w:t>978-7-5446-6093-8</w:t>
            </w:r>
          </w:p>
        </w:tc>
        <w:tc>
          <w:tcPr>
            <w:tcW w:w="555" w:type="pct"/>
            <w:tcBorders>
              <w:top w:val="single" w:color="000000" w:sz="4" w:space="0"/>
              <w:left w:val="single" w:color="000000" w:sz="4" w:space="0"/>
              <w:bottom w:val="single" w:color="000000" w:sz="4" w:space="0"/>
              <w:right w:val="single" w:color="000000" w:sz="4" w:space="0"/>
            </w:tcBorders>
          </w:tcPr>
          <w:p w14:paraId="253A6941">
            <w:pPr>
              <w:widowControl/>
              <w:shd w:val="clear" w:color="auto" w:fill="FFFFFF"/>
              <w:spacing w:line="360" w:lineRule="auto"/>
              <w:ind w:right="-340" w:rightChars="-162"/>
              <w:jc w:val="left"/>
              <w:rPr>
                <w:rFonts w:ascii="宋体" w:hAnsi="宋体" w:eastAsia="宋体" w:cs="Arial"/>
                <w:bCs/>
                <w:kern w:val="0"/>
                <w:sz w:val="24"/>
              </w:rPr>
            </w:pPr>
            <w:r>
              <w:rPr>
                <w:rFonts w:hint="eastAsia" w:ascii="宋体" w:hAnsi="宋体" w:eastAsia="宋体" w:cs="Arial"/>
                <w:bCs/>
                <w:kern w:val="0"/>
                <w:sz w:val="24"/>
              </w:rPr>
              <w:t>512</w:t>
            </w:r>
          </w:p>
        </w:tc>
        <w:tc>
          <w:tcPr>
            <w:tcW w:w="556" w:type="pct"/>
          </w:tcPr>
          <w:p w14:paraId="2C3C194C">
            <w:pPr>
              <w:widowControl/>
              <w:shd w:val="clear" w:color="auto" w:fill="FFFFFF"/>
              <w:spacing w:line="360" w:lineRule="auto"/>
              <w:ind w:right="-340" w:rightChars="-162"/>
              <w:jc w:val="left"/>
              <w:rPr>
                <w:rFonts w:ascii="宋体" w:hAnsi="宋体" w:eastAsia="宋体" w:cs="Arial"/>
                <w:bCs/>
                <w:kern w:val="0"/>
                <w:sz w:val="24"/>
              </w:rPr>
            </w:pPr>
            <w:r>
              <w:rPr>
                <w:rFonts w:hint="eastAsia" w:ascii="宋体" w:hAnsi="宋体" w:eastAsia="宋体" w:cs="Arial"/>
                <w:bCs/>
                <w:kern w:val="0"/>
                <w:sz w:val="24"/>
              </w:rPr>
              <w:t>7</w:t>
            </w:r>
            <w:r>
              <w:rPr>
                <w:rFonts w:ascii="宋体" w:hAnsi="宋体" w:eastAsia="宋体" w:cs="Arial"/>
                <w:bCs/>
                <w:kern w:val="0"/>
                <w:sz w:val="24"/>
              </w:rPr>
              <w:t>4</w:t>
            </w:r>
          </w:p>
        </w:tc>
        <w:tc>
          <w:tcPr>
            <w:tcW w:w="695" w:type="pct"/>
            <w:shd w:val="clear" w:color="auto" w:fill="auto"/>
            <w:vAlign w:val="center"/>
          </w:tcPr>
          <w:p w14:paraId="09C635FA">
            <w:pPr>
              <w:widowControl/>
              <w:shd w:val="clear" w:color="auto" w:fill="FFFFFF"/>
              <w:spacing w:line="360" w:lineRule="auto"/>
              <w:ind w:right="-340" w:rightChars="-162"/>
              <w:jc w:val="left"/>
              <w:rPr>
                <w:rFonts w:ascii="宋体" w:hAnsi="宋体" w:eastAsia="宋体" w:cs="Arial"/>
                <w:bCs/>
                <w:kern w:val="0"/>
                <w:sz w:val="24"/>
              </w:rPr>
            </w:pPr>
          </w:p>
        </w:tc>
        <w:tc>
          <w:tcPr>
            <w:tcW w:w="555" w:type="pct"/>
            <w:shd w:val="clear" w:color="auto" w:fill="auto"/>
            <w:vAlign w:val="center"/>
          </w:tcPr>
          <w:p w14:paraId="2C150EE5">
            <w:pPr>
              <w:widowControl/>
              <w:shd w:val="clear" w:color="auto" w:fill="FFFFFF"/>
              <w:spacing w:line="360" w:lineRule="auto"/>
              <w:ind w:right="-340" w:rightChars="-162"/>
              <w:jc w:val="left"/>
              <w:rPr>
                <w:rFonts w:ascii="宋体" w:hAnsi="宋体" w:eastAsia="宋体" w:cs="Arial"/>
                <w:bCs/>
                <w:kern w:val="0"/>
                <w:sz w:val="24"/>
              </w:rPr>
            </w:pPr>
          </w:p>
        </w:tc>
        <w:tc>
          <w:tcPr>
            <w:tcW w:w="556" w:type="pct"/>
            <w:shd w:val="clear" w:color="auto" w:fill="auto"/>
            <w:vAlign w:val="center"/>
          </w:tcPr>
          <w:p w14:paraId="6DEC9D69">
            <w:pPr>
              <w:widowControl/>
              <w:shd w:val="clear" w:color="auto" w:fill="FFFFFF"/>
              <w:spacing w:line="360" w:lineRule="auto"/>
              <w:ind w:right="-340" w:rightChars="-162"/>
              <w:jc w:val="left"/>
              <w:rPr>
                <w:rFonts w:ascii="宋体" w:hAnsi="宋体" w:eastAsia="宋体" w:cs="Arial"/>
                <w:bCs/>
                <w:kern w:val="0"/>
                <w:sz w:val="24"/>
              </w:rPr>
            </w:pPr>
          </w:p>
        </w:tc>
      </w:tr>
      <w:tr w14:paraId="6929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76" w:type="pct"/>
            <w:shd w:val="clear" w:color="auto" w:fill="auto"/>
            <w:vAlign w:val="center"/>
          </w:tcPr>
          <w:p w14:paraId="56BF0F19">
            <w:pPr>
              <w:widowControl/>
              <w:shd w:val="clear" w:color="auto" w:fill="FFFFFF"/>
              <w:spacing w:line="360" w:lineRule="auto"/>
              <w:ind w:right="-340" w:rightChars="-162"/>
              <w:jc w:val="left"/>
              <w:rPr>
                <w:rFonts w:ascii="宋体" w:hAnsi="宋体" w:eastAsia="宋体" w:cs="Arial"/>
                <w:bCs/>
                <w:kern w:val="0"/>
                <w:sz w:val="24"/>
              </w:rPr>
            </w:pPr>
            <w:r>
              <w:rPr>
                <w:rFonts w:hint="eastAsia" w:ascii="宋体" w:hAnsi="宋体" w:eastAsia="宋体" w:cs="Arial"/>
                <w:bCs/>
                <w:kern w:val="0"/>
                <w:sz w:val="24"/>
              </w:rPr>
              <w:t>2</w:t>
            </w:r>
          </w:p>
        </w:tc>
        <w:tc>
          <w:tcPr>
            <w:tcW w:w="766" w:type="pct"/>
            <w:tcBorders>
              <w:top w:val="single" w:color="000000" w:sz="4" w:space="0"/>
              <w:left w:val="single" w:color="000000" w:sz="4" w:space="0"/>
              <w:bottom w:val="single" w:color="000000" w:sz="4" w:space="0"/>
              <w:right w:val="single" w:color="000000" w:sz="4" w:space="0"/>
            </w:tcBorders>
            <w:vAlign w:val="bottom"/>
          </w:tcPr>
          <w:p w14:paraId="5EF8EC28">
            <w:r>
              <w:rPr>
                <w:rFonts w:hint="eastAsia"/>
              </w:rPr>
              <w:t>新思维小学英语 6B</w:t>
            </w:r>
          </w:p>
        </w:tc>
        <w:tc>
          <w:tcPr>
            <w:tcW w:w="1041" w:type="pct"/>
            <w:tcBorders>
              <w:top w:val="single" w:color="000000" w:sz="4" w:space="0"/>
              <w:left w:val="single" w:color="000000" w:sz="4" w:space="0"/>
              <w:bottom w:val="single" w:color="000000" w:sz="4" w:space="0"/>
              <w:right w:val="single" w:color="000000" w:sz="4" w:space="0"/>
            </w:tcBorders>
            <w:vAlign w:val="center"/>
          </w:tcPr>
          <w:p w14:paraId="29D98E03">
            <w:r>
              <w:rPr>
                <w:rFonts w:hint="eastAsia"/>
              </w:rPr>
              <w:t>978-7-5446-6092-1</w:t>
            </w:r>
          </w:p>
        </w:tc>
        <w:tc>
          <w:tcPr>
            <w:tcW w:w="555" w:type="pct"/>
            <w:tcBorders>
              <w:top w:val="single" w:color="000000" w:sz="4" w:space="0"/>
              <w:left w:val="single" w:color="000000" w:sz="4" w:space="0"/>
              <w:bottom w:val="single" w:color="000000" w:sz="4" w:space="0"/>
              <w:right w:val="single" w:color="000000" w:sz="4" w:space="0"/>
            </w:tcBorders>
          </w:tcPr>
          <w:p w14:paraId="74649B62">
            <w:pPr>
              <w:widowControl/>
              <w:shd w:val="clear" w:color="auto" w:fill="FFFFFF"/>
              <w:spacing w:line="360" w:lineRule="auto"/>
              <w:ind w:right="-340" w:rightChars="-162"/>
              <w:jc w:val="left"/>
              <w:rPr>
                <w:rFonts w:ascii="宋体" w:hAnsi="宋体" w:eastAsia="宋体" w:cs="Arial"/>
                <w:bCs/>
                <w:kern w:val="0"/>
                <w:sz w:val="24"/>
              </w:rPr>
            </w:pPr>
            <w:r>
              <w:rPr>
                <w:rFonts w:hint="eastAsia" w:ascii="宋体" w:hAnsi="宋体" w:eastAsia="宋体" w:cs="Arial"/>
                <w:bCs/>
                <w:kern w:val="0"/>
                <w:sz w:val="24"/>
              </w:rPr>
              <w:t>5</w:t>
            </w:r>
            <w:r>
              <w:rPr>
                <w:rFonts w:ascii="宋体" w:hAnsi="宋体" w:eastAsia="宋体" w:cs="Arial"/>
                <w:bCs/>
                <w:kern w:val="0"/>
                <w:sz w:val="24"/>
              </w:rPr>
              <w:t>55</w:t>
            </w:r>
          </w:p>
        </w:tc>
        <w:tc>
          <w:tcPr>
            <w:tcW w:w="556" w:type="pct"/>
          </w:tcPr>
          <w:p w14:paraId="14B80D84">
            <w:pPr>
              <w:widowControl/>
              <w:shd w:val="clear" w:color="auto" w:fill="FFFFFF"/>
              <w:spacing w:line="360" w:lineRule="auto"/>
              <w:ind w:right="-340" w:rightChars="-162"/>
              <w:jc w:val="left"/>
              <w:rPr>
                <w:rFonts w:ascii="宋体" w:hAnsi="宋体" w:eastAsia="宋体" w:cs="Arial"/>
                <w:bCs/>
                <w:kern w:val="0"/>
                <w:sz w:val="24"/>
              </w:rPr>
            </w:pPr>
            <w:r>
              <w:rPr>
                <w:rFonts w:hint="eastAsia" w:ascii="宋体" w:hAnsi="宋体" w:eastAsia="宋体" w:cs="Arial"/>
                <w:bCs/>
                <w:kern w:val="0"/>
                <w:sz w:val="24"/>
              </w:rPr>
              <w:t>7</w:t>
            </w:r>
            <w:r>
              <w:rPr>
                <w:rFonts w:ascii="宋体" w:hAnsi="宋体" w:eastAsia="宋体" w:cs="Arial"/>
                <w:bCs/>
                <w:kern w:val="0"/>
                <w:sz w:val="24"/>
              </w:rPr>
              <w:t>4</w:t>
            </w:r>
          </w:p>
        </w:tc>
        <w:tc>
          <w:tcPr>
            <w:tcW w:w="695" w:type="pct"/>
            <w:shd w:val="clear" w:color="auto" w:fill="auto"/>
            <w:vAlign w:val="center"/>
          </w:tcPr>
          <w:p w14:paraId="59ED845E">
            <w:pPr>
              <w:widowControl/>
              <w:shd w:val="clear" w:color="auto" w:fill="FFFFFF"/>
              <w:spacing w:line="360" w:lineRule="auto"/>
              <w:ind w:right="-340" w:rightChars="-162"/>
              <w:jc w:val="left"/>
              <w:rPr>
                <w:rFonts w:ascii="宋体" w:hAnsi="宋体" w:eastAsia="宋体" w:cs="Arial"/>
                <w:bCs/>
                <w:kern w:val="0"/>
                <w:sz w:val="24"/>
              </w:rPr>
            </w:pPr>
          </w:p>
        </w:tc>
        <w:tc>
          <w:tcPr>
            <w:tcW w:w="555" w:type="pct"/>
            <w:shd w:val="clear" w:color="auto" w:fill="auto"/>
            <w:vAlign w:val="center"/>
          </w:tcPr>
          <w:p w14:paraId="6741088B">
            <w:pPr>
              <w:widowControl/>
              <w:shd w:val="clear" w:color="auto" w:fill="FFFFFF"/>
              <w:spacing w:line="360" w:lineRule="auto"/>
              <w:ind w:right="-340" w:rightChars="-162"/>
              <w:jc w:val="left"/>
              <w:rPr>
                <w:rFonts w:ascii="宋体" w:hAnsi="宋体" w:eastAsia="宋体" w:cs="Arial"/>
                <w:bCs/>
                <w:kern w:val="0"/>
                <w:sz w:val="24"/>
              </w:rPr>
            </w:pPr>
          </w:p>
        </w:tc>
        <w:tc>
          <w:tcPr>
            <w:tcW w:w="556" w:type="pct"/>
            <w:shd w:val="clear" w:color="auto" w:fill="auto"/>
            <w:vAlign w:val="center"/>
          </w:tcPr>
          <w:p w14:paraId="7B0C67C6">
            <w:pPr>
              <w:widowControl/>
              <w:shd w:val="clear" w:color="auto" w:fill="FFFFFF"/>
              <w:spacing w:line="360" w:lineRule="auto"/>
              <w:ind w:right="-340" w:rightChars="-162"/>
              <w:jc w:val="left"/>
              <w:rPr>
                <w:rFonts w:ascii="宋体" w:hAnsi="宋体" w:eastAsia="宋体" w:cs="Arial"/>
                <w:bCs/>
                <w:kern w:val="0"/>
                <w:sz w:val="24"/>
              </w:rPr>
            </w:pPr>
          </w:p>
        </w:tc>
      </w:tr>
      <w:tr w14:paraId="19F3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042" w:type="pct"/>
            <w:gridSpan w:val="2"/>
            <w:shd w:val="clear" w:color="auto" w:fill="auto"/>
            <w:vAlign w:val="center"/>
          </w:tcPr>
          <w:p w14:paraId="1F0014E0">
            <w:r>
              <w:rPr>
                <w:rFonts w:hint="eastAsia"/>
              </w:rPr>
              <w:t>报价合计</w:t>
            </w:r>
          </w:p>
        </w:tc>
        <w:tc>
          <w:tcPr>
            <w:tcW w:w="3958" w:type="pct"/>
            <w:gridSpan w:val="6"/>
          </w:tcPr>
          <w:p w14:paraId="31C8746E">
            <w:pPr>
              <w:rPr>
                <w:rFonts w:hint="eastAsia"/>
                <w:u w:val="single"/>
              </w:rPr>
            </w:pPr>
            <w:r>
              <w:rPr>
                <w:rFonts w:hint="eastAsia"/>
              </w:rPr>
              <w:t>小写：¥</w:t>
            </w:r>
            <w:r>
              <w:rPr>
                <w:u w:val="single"/>
              </w:rPr>
              <w:t xml:space="preserve">       </w:t>
            </w:r>
            <w:r>
              <w:rPr>
                <w:rFonts w:hint="eastAsia"/>
                <w:u w:val="single"/>
              </w:rPr>
              <w:t>元</w:t>
            </w:r>
          </w:p>
          <w:p w14:paraId="17491E89">
            <w:pPr>
              <w:rPr>
                <w:u w:val="single"/>
              </w:rPr>
            </w:pPr>
            <w:r>
              <w:rPr>
                <w:rFonts w:hint="eastAsia"/>
              </w:rPr>
              <w:t>大写：人民币</w:t>
            </w:r>
            <w:r>
              <w:rPr>
                <w:rFonts w:hint="eastAsia"/>
                <w:u w:val="single"/>
              </w:rPr>
              <w:t xml:space="preserve"> </w:t>
            </w:r>
            <w:r>
              <w:rPr>
                <w:u w:val="single"/>
              </w:rPr>
              <w:t xml:space="preserve">            </w:t>
            </w:r>
            <w:r>
              <w:rPr>
                <w:rFonts w:hint="eastAsia"/>
                <w:u w:val="single"/>
              </w:rPr>
              <w:t>元</w:t>
            </w:r>
          </w:p>
        </w:tc>
      </w:tr>
    </w:tbl>
    <w:p w14:paraId="4BBCEBE9">
      <w:pPr>
        <w:widowControl/>
        <w:shd w:val="clear" w:color="auto" w:fill="FFFFFF"/>
        <w:spacing w:line="360" w:lineRule="auto"/>
        <w:ind w:right="-340" w:rightChars="-162"/>
        <w:jc w:val="left"/>
        <w:rPr>
          <w:rFonts w:ascii="宋体" w:hAnsi="宋体" w:eastAsia="宋体" w:cs="Arial"/>
          <w:bCs/>
          <w:kern w:val="0"/>
          <w:szCs w:val="21"/>
        </w:rPr>
      </w:pPr>
      <w:r>
        <w:rPr>
          <w:rFonts w:ascii="宋体" w:hAnsi="宋体" w:eastAsia="宋体" w:cs="Arial"/>
          <w:bCs/>
          <w:kern w:val="0"/>
          <w:szCs w:val="21"/>
        </w:rPr>
        <w:t xml:space="preserve"> </w:t>
      </w:r>
      <w:r>
        <w:rPr>
          <w:rFonts w:hint="eastAsia" w:ascii="宋体" w:hAnsi="宋体" w:eastAsia="宋体" w:cs="Arial"/>
          <w:bCs/>
          <w:kern w:val="0"/>
          <w:szCs w:val="21"/>
        </w:rPr>
        <w:t>注：1、以上价格中包含运费、税金及实施过程中不可预见费用等所有费用。</w:t>
      </w:r>
    </w:p>
    <w:p w14:paraId="1BEB7F8D">
      <w:pPr>
        <w:ind w:firstLine="420" w:firstLineChars="200"/>
        <w:rPr>
          <w:rFonts w:ascii="宋体" w:hAnsi="宋体" w:eastAsia="宋体" w:cs="Arial"/>
          <w:bCs/>
          <w:kern w:val="0"/>
          <w:sz w:val="24"/>
        </w:rPr>
      </w:pPr>
      <w:r>
        <w:rPr>
          <w:rFonts w:ascii="宋体" w:hAnsi="宋体" w:eastAsia="宋体" w:cs="Arial"/>
          <w:bCs/>
          <w:kern w:val="0"/>
          <w:szCs w:val="21"/>
        </w:rPr>
        <w:t>2</w:t>
      </w:r>
      <w:r>
        <w:rPr>
          <w:rFonts w:hint="eastAsia" w:ascii="宋体" w:hAnsi="宋体" w:eastAsia="宋体" w:cs="Arial"/>
          <w:bCs/>
          <w:kern w:val="0"/>
          <w:szCs w:val="21"/>
        </w:rPr>
        <w:t>、参选人须按要求填写所有信息，不得随意更改本表格式。</w:t>
      </w:r>
    </w:p>
    <w:p w14:paraId="19BF0F79">
      <w:pPr>
        <w:pStyle w:val="8"/>
        <w:widowControl/>
        <w:numPr>
          <w:ilvl w:val="0"/>
          <w:numId w:val="1"/>
        </w:numPr>
        <w:shd w:val="clear" w:color="auto" w:fill="FFFFFF"/>
        <w:spacing w:line="360" w:lineRule="auto"/>
        <w:ind w:right="-340" w:rightChars="-162" w:firstLineChars="0"/>
        <w:jc w:val="left"/>
        <w:rPr>
          <w:rFonts w:ascii="宋体" w:hAnsi="宋体" w:eastAsia="宋体" w:cs="Arial"/>
          <w:bCs/>
          <w:kern w:val="0"/>
          <w:sz w:val="24"/>
        </w:rPr>
      </w:pPr>
      <w:r>
        <w:rPr>
          <w:rFonts w:hint="eastAsia" w:ascii="宋体" w:hAnsi="宋体" w:eastAsia="宋体" w:cs="Arial"/>
          <w:bCs/>
          <w:kern w:val="0"/>
          <w:sz w:val="24"/>
        </w:rPr>
        <w:t>参选文件要求</w:t>
      </w:r>
      <w:r>
        <w:rPr>
          <w:rFonts w:ascii="宋体" w:hAnsi="宋体" w:eastAsia="宋体" w:cs="Arial"/>
          <w:bCs/>
          <w:kern w:val="0"/>
          <w:sz w:val="24"/>
        </w:rPr>
        <w:t xml:space="preserve"> </w:t>
      </w:r>
    </w:p>
    <w:p w14:paraId="5FA35195">
      <w:pPr>
        <w:widowControl/>
        <w:adjustRightInd w:val="0"/>
        <w:spacing w:line="400" w:lineRule="exact"/>
        <w:ind w:firstLine="600" w:firstLineChars="250"/>
        <w:rPr>
          <w:rFonts w:cs="Times New Roman" w:asciiTheme="minorEastAsia" w:hAnsiTheme="minorEastAsia"/>
          <w:b/>
          <w:color w:val="000000"/>
          <w:sz w:val="24"/>
        </w:rPr>
      </w:pPr>
      <w:r>
        <w:rPr>
          <w:rFonts w:cs="Times New Roman" w:asciiTheme="minorEastAsia" w:hAnsiTheme="minorEastAsia"/>
          <w:b/>
          <w:color w:val="000000"/>
          <w:sz w:val="24"/>
        </w:rPr>
        <w:t xml:space="preserve">1、参选文件须密封。 </w:t>
      </w:r>
    </w:p>
    <w:p w14:paraId="5228D7FF">
      <w:pPr>
        <w:widowControl/>
        <w:adjustRightInd w:val="0"/>
        <w:spacing w:line="400" w:lineRule="exact"/>
        <w:ind w:firstLine="480" w:firstLineChars="200"/>
        <w:rPr>
          <w:rFonts w:cs="Times New Roman" w:asciiTheme="minorEastAsia" w:hAnsiTheme="minorEastAsia"/>
          <w:b/>
          <w:color w:val="000000"/>
          <w:sz w:val="24"/>
        </w:rPr>
      </w:pPr>
      <w:r>
        <w:rPr>
          <w:rFonts w:cs="Times New Roman" w:asciiTheme="minorEastAsia" w:hAnsiTheme="minorEastAsia"/>
          <w:b/>
          <w:color w:val="000000"/>
          <w:sz w:val="24"/>
        </w:rPr>
        <w:t xml:space="preserve">2、 参选人必须是所投项目的经营资格商（须提供参选人营业执照副本复印件并盖公章）。 </w:t>
      </w:r>
    </w:p>
    <w:p w14:paraId="19979D6B">
      <w:pPr>
        <w:widowControl/>
        <w:adjustRightInd w:val="0"/>
        <w:spacing w:line="400" w:lineRule="exact"/>
        <w:ind w:firstLine="480" w:firstLineChars="200"/>
        <w:rPr>
          <w:rFonts w:cs="Times New Roman" w:asciiTheme="minorEastAsia" w:hAnsiTheme="minorEastAsia"/>
          <w:b/>
          <w:color w:val="000000"/>
          <w:sz w:val="24"/>
        </w:rPr>
      </w:pPr>
      <w:r>
        <w:rPr>
          <w:rFonts w:cs="Times New Roman" w:asciiTheme="minorEastAsia" w:hAnsiTheme="minorEastAsia"/>
          <w:b/>
          <w:color w:val="000000"/>
          <w:sz w:val="24"/>
        </w:rPr>
        <w:t>3、参选单位法人资质证明、法人委托书、经办人的身份证复印件（正反面）并加盖公章，若为法人投选则须提供法人证明材料（盖公章）、身份证复印件（盖公章），以上参选材料格式自定。</w:t>
      </w:r>
    </w:p>
    <w:p w14:paraId="32659B24">
      <w:pPr>
        <w:widowControl/>
        <w:adjustRightInd w:val="0"/>
        <w:spacing w:line="400" w:lineRule="exact"/>
        <w:ind w:firstLine="600" w:firstLineChars="250"/>
        <w:rPr>
          <w:rFonts w:cs="Times New Roman" w:asciiTheme="minorEastAsia" w:hAnsiTheme="minorEastAsia"/>
          <w:b/>
          <w:color w:val="000000"/>
          <w:sz w:val="24"/>
        </w:rPr>
      </w:pPr>
      <w:r>
        <w:rPr>
          <w:rFonts w:cs="Times New Roman" w:asciiTheme="minorEastAsia" w:hAnsiTheme="minorEastAsia"/>
          <w:b/>
          <w:color w:val="000000"/>
          <w:sz w:val="24"/>
        </w:rPr>
        <w:t>4、</w:t>
      </w:r>
      <w:r>
        <w:rPr>
          <w:rFonts w:hint="eastAsia" w:cs="Times New Roman" w:asciiTheme="minorEastAsia" w:hAnsiTheme="minorEastAsia"/>
          <w:b/>
          <w:color w:val="000000"/>
          <w:sz w:val="24"/>
        </w:rPr>
        <w:t>参选文件里的报价表（按文件报价格式）及文件中需</w:t>
      </w:r>
      <w:bookmarkStart w:id="5" w:name="OLE_LINK5"/>
      <w:r>
        <w:rPr>
          <w:rFonts w:hint="eastAsia" w:cs="Times New Roman" w:asciiTheme="minorEastAsia" w:hAnsiTheme="minorEastAsia"/>
          <w:b/>
          <w:color w:val="000000"/>
          <w:sz w:val="24"/>
        </w:rPr>
        <w:t>提供的相关资料</w:t>
      </w:r>
      <w:bookmarkEnd w:id="5"/>
      <w:r>
        <w:rPr>
          <w:rFonts w:hint="eastAsia" w:cs="Times New Roman" w:asciiTheme="minorEastAsia" w:hAnsiTheme="minorEastAsia"/>
          <w:b/>
          <w:color w:val="000000"/>
          <w:sz w:val="24"/>
        </w:rPr>
        <w:t>【（二）技术要求1、2、5；五、服务要求（一）、（四）；参选供应商资格（一）、（二）、（三）（四）、（五）（七）】等并加盖公章。</w:t>
      </w:r>
    </w:p>
    <w:p w14:paraId="162BFEB6">
      <w:pPr>
        <w:widowControl/>
        <w:adjustRightInd w:val="0"/>
        <w:spacing w:line="400" w:lineRule="exact"/>
        <w:ind w:firstLine="600" w:firstLineChars="250"/>
        <w:rPr>
          <w:rFonts w:cs="Times New Roman" w:asciiTheme="minorEastAsia" w:hAnsiTheme="minorEastAsia"/>
          <w:b/>
          <w:color w:val="000000"/>
          <w:sz w:val="24"/>
        </w:rPr>
      </w:pPr>
      <w:r>
        <w:rPr>
          <w:rFonts w:cs="Times New Roman" w:asciiTheme="minorEastAsia" w:hAnsiTheme="minorEastAsia"/>
          <w:b/>
          <w:color w:val="000000"/>
          <w:sz w:val="24"/>
        </w:rPr>
        <w:t>5</w:t>
      </w:r>
      <w:r>
        <w:rPr>
          <w:rFonts w:hint="eastAsia" w:cs="Times New Roman" w:asciiTheme="minorEastAsia" w:hAnsiTheme="minorEastAsia"/>
          <w:b/>
          <w:color w:val="000000"/>
          <w:sz w:val="24"/>
        </w:rPr>
        <w:t>、参投人所提交的参选文件在比选活动结束后，无论中选与否都不退还。采购人对因不可抗力事件造成的参投文件的损坏、丢失不承担任何责任。</w:t>
      </w:r>
    </w:p>
    <w:p w14:paraId="0EE70CB5">
      <w:pPr>
        <w:widowControl/>
        <w:adjustRightInd w:val="0"/>
        <w:spacing w:line="400" w:lineRule="exact"/>
        <w:ind w:firstLine="600" w:firstLineChars="250"/>
        <w:rPr>
          <w:rFonts w:cs="Times New Roman" w:asciiTheme="minorEastAsia" w:hAnsiTheme="minorEastAsia"/>
          <w:b/>
          <w:color w:val="000000"/>
          <w:sz w:val="24"/>
        </w:rPr>
      </w:pPr>
      <w:r>
        <w:rPr>
          <w:rFonts w:cs="Times New Roman" w:asciiTheme="minorEastAsia" w:hAnsiTheme="minorEastAsia"/>
          <w:b/>
          <w:color w:val="000000"/>
          <w:sz w:val="24"/>
        </w:rPr>
        <w:t>6</w:t>
      </w:r>
      <w:r>
        <w:rPr>
          <w:rFonts w:hint="eastAsia" w:cs="Times New Roman" w:asciiTheme="minorEastAsia" w:hAnsiTheme="minorEastAsia"/>
          <w:b/>
          <w:color w:val="000000"/>
          <w:sz w:val="24"/>
        </w:rPr>
        <w:t>、参选文件有下列情况之一者将视为无效参选文件：</w:t>
      </w:r>
    </w:p>
    <w:p w14:paraId="3224CD21">
      <w:pPr>
        <w:widowControl/>
        <w:adjustRightInd w:val="0"/>
        <w:spacing w:line="400" w:lineRule="exact"/>
        <w:ind w:firstLine="600" w:firstLineChars="250"/>
        <w:rPr>
          <w:rFonts w:cs="Times New Roman" w:asciiTheme="minorEastAsia" w:hAnsiTheme="minorEastAsia"/>
          <w:b/>
          <w:color w:val="000000"/>
          <w:sz w:val="24"/>
        </w:rPr>
      </w:pPr>
      <w:r>
        <w:rPr>
          <w:rFonts w:hint="eastAsia" w:cs="Times New Roman" w:asciiTheme="minorEastAsia" w:hAnsiTheme="minorEastAsia"/>
          <w:b/>
          <w:color w:val="000000"/>
          <w:sz w:val="24"/>
        </w:rPr>
        <w:t>1）参选文件未按规定密封。</w:t>
      </w:r>
    </w:p>
    <w:p w14:paraId="47102DEA">
      <w:pPr>
        <w:widowControl/>
        <w:adjustRightInd w:val="0"/>
        <w:spacing w:line="400" w:lineRule="exact"/>
        <w:ind w:firstLine="600" w:firstLineChars="250"/>
        <w:rPr>
          <w:rFonts w:cs="Times New Roman" w:asciiTheme="minorEastAsia" w:hAnsiTheme="minorEastAsia"/>
          <w:b/>
          <w:color w:val="000000"/>
          <w:sz w:val="24"/>
        </w:rPr>
      </w:pPr>
      <w:r>
        <w:rPr>
          <w:rFonts w:hint="eastAsia" w:cs="Times New Roman" w:asciiTheme="minorEastAsia" w:hAnsiTheme="minorEastAsia"/>
          <w:b/>
          <w:color w:val="000000"/>
          <w:sz w:val="24"/>
        </w:rPr>
        <w:t>2）参选文件未盖参选人公章。</w:t>
      </w:r>
    </w:p>
    <w:p w14:paraId="6116FBE6">
      <w:pPr>
        <w:widowControl/>
        <w:adjustRightInd w:val="0"/>
        <w:spacing w:line="400" w:lineRule="exact"/>
        <w:ind w:firstLine="600" w:firstLineChars="250"/>
        <w:rPr>
          <w:rFonts w:cs="Times New Roman" w:asciiTheme="minorEastAsia" w:hAnsiTheme="minorEastAsia"/>
          <w:b/>
          <w:color w:val="000000"/>
          <w:sz w:val="24"/>
        </w:rPr>
      </w:pPr>
      <w:r>
        <w:rPr>
          <w:rFonts w:hint="eastAsia" w:cs="Times New Roman" w:asciiTheme="minorEastAsia" w:hAnsiTheme="minorEastAsia"/>
          <w:b/>
          <w:color w:val="000000"/>
          <w:sz w:val="24"/>
        </w:rPr>
        <w:t>3）参投价高于采购人的限价。</w:t>
      </w:r>
    </w:p>
    <w:p w14:paraId="5C612D24">
      <w:pPr>
        <w:widowControl/>
        <w:adjustRightInd w:val="0"/>
        <w:spacing w:line="400" w:lineRule="exact"/>
        <w:ind w:firstLine="600" w:firstLineChars="250"/>
        <w:rPr>
          <w:rFonts w:cs="Times New Roman" w:asciiTheme="minorEastAsia" w:hAnsiTheme="minorEastAsia"/>
          <w:b/>
          <w:color w:val="000000"/>
          <w:sz w:val="24"/>
        </w:rPr>
      </w:pPr>
      <w:r>
        <w:rPr>
          <w:rFonts w:hint="eastAsia" w:cs="Times New Roman" w:asciiTheme="minorEastAsia" w:hAnsiTheme="minorEastAsia"/>
          <w:b/>
          <w:color w:val="000000"/>
          <w:sz w:val="24"/>
        </w:rPr>
        <w:t>4）未按报价格式填写，提供的相关资料内容不全或字迹模糊辨认不清。</w:t>
      </w:r>
    </w:p>
    <w:p w14:paraId="0EAF711C">
      <w:pPr>
        <w:widowControl/>
        <w:adjustRightInd w:val="0"/>
        <w:spacing w:line="400" w:lineRule="exact"/>
        <w:ind w:firstLine="600" w:firstLineChars="250"/>
        <w:rPr>
          <w:rFonts w:cs="Times New Roman" w:asciiTheme="minorEastAsia" w:hAnsiTheme="minorEastAsia"/>
          <w:b/>
          <w:color w:val="000000"/>
          <w:sz w:val="24"/>
        </w:rPr>
      </w:pPr>
      <w:r>
        <w:rPr>
          <w:rFonts w:hint="eastAsia" w:cs="Times New Roman" w:asciiTheme="minorEastAsia" w:hAnsiTheme="minorEastAsia"/>
          <w:b/>
          <w:color w:val="000000"/>
          <w:sz w:val="24"/>
        </w:rPr>
        <w:t>5）联合体投标。</w:t>
      </w:r>
    </w:p>
    <w:p w14:paraId="24D92767">
      <w:pPr>
        <w:pStyle w:val="8"/>
        <w:widowControl/>
        <w:numPr>
          <w:ilvl w:val="0"/>
          <w:numId w:val="1"/>
        </w:numPr>
        <w:shd w:val="clear" w:color="auto" w:fill="FFFFFF"/>
        <w:spacing w:line="360" w:lineRule="auto"/>
        <w:ind w:right="-340" w:rightChars="-162" w:firstLineChars="0"/>
        <w:jc w:val="left"/>
        <w:rPr>
          <w:rFonts w:cs="Times New Roman" w:asciiTheme="minorEastAsia" w:hAnsiTheme="minorEastAsia"/>
          <w:b/>
          <w:color w:val="000000"/>
          <w:sz w:val="24"/>
        </w:rPr>
      </w:pPr>
      <w:r>
        <w:rPr>
          <w:rFonts w:ascii="宋体" w:hAnsi="宋体" w:eastAsia="宋体" w:cs="Arial"/>
          <w:bCs/>
          <w:kern w:val="0"/>
          <w:sz w:val="24"/>
        </w:rPr>
        <w:t xml:space="preserve">评审办法 </w:t>
      </w:r>
    </w:p>
    <w:p w14:paraId="6D762638">
      <w:pPr>
        <w:ind w:firstLine="480" w:firstLineChars="200"/>
        <w:rPr>
          <w:sz w:val="24"/>
        </w:rPr>
      </w:pPr>
      <w:r>
        <w:rPr>
          <w:rFonts w:hint="eastAsia"/>
          <w:sz w:val="24"/>
        </w:rPr>
        <w:t>学校组织评审小组，对参选人的资格进行符合性审查，符合性审查合格者低价者中选。如出现并列低价者，则低价者进行现场再次报价，以报价低价者中选。</w:t>
      </w:r>
    </w:p>
    <w:p w14:paraId="0559713E">
      <w:pPr>
        <w:pStyle w:val="8"/>
        <w:widowControl/>
        <w:numPr>
          <w:ilvl w:val="0"/>
          <w:numId w:val="1"/>
        </w:numPr>
        <w:shd w:val="clear" w:color="auto" w:fill="FFFFFF"/>
        <w:spacing w:line="360" w:lineRule="auto"/>
        <w:ind w:right="-340" w:rightChars="-162" w:firstLineChars="0"/>
        <w:jc w:val="left"/>
        <w:rPr>
          <w:sz w:val="24"/>
        </w:rPr>
      </w:pPr>
      <w:r>
        <w:rPr>
          <w:rFonts w:hint="eastAsia" w:ascii="宋体" w:hAnsi="宋体" w:eastAsia="宋体" w:cs="Arial"/>
          <w:bCs/>
          <w:kern w:val="0"/>
          <w:sz w:val="24"/>
        </w:rPr>
        <w:t>报名</w:t>
      </w:r>
    </w:p>
    <w:p w14:paraId="2F16611B">
      <w:pPr>
        <w:tabs>
          <w:tab w:val="left" w:pos="720"/>
        </w:tabs>
        <w:snapToGrid w:val="0"/>
        <w:spacing w:line="360" w:lineRule="auto"/>
        <w:ind w:firstLine="480" w:firstLineChars="200"/>
        <w:rPr>
          <w:rFonts w:cs="Arial" w:asciiTheme="minorEastAsia" w:hAnsiTheme="minorEastAsia"/>
          <w:color w:val="000000"/>
          <w:sz w:val="24"/>
        </w:rPr>
      </w:pPr>
      <w:r>
        <w:rPr>
          <w:rFonts w:hint="eastAsia" w:cs="Arial" w:asciiTheme="minorEastAsia" w:hAnsiTheme="minorEastAsia"/>
          <w:color w:val="000000"/>
          <w:sz w:val="24"/>
        </w:rPr>
        <w:t>报名领取</w:t>
      </w:r>
      <w:r>
        <w:rPr>
          <w:rFonts w:cs="Arial" w:asciiTheme="minorEastAsia" w:hAnsiTheme="minorEastAsia"/>
          <w:color w:val="000000"/>
          <w:sz w:val="24"/>
        </w:rPr>
        <w:t>采购文件</w:t>
      </w:r>
      <w:r>
        <w:rPr>
          <w:rFonts w:hint="eastAsia" w:cs="Arial" w:asciiTheme="minorEastAsia" w:hAnsiTheme="minorEastAsia"/>
          <w:color w:val="000000"/>
          <w:sz w:val="24"/>
        </w:rPr>
        <w:t>需</w:t>
      </w:r>
      <w:r>
        <w:rPr>
          <w:rFonts w:cs="Arial" w:asciiTheme="minorEastAsia" w:hAnsiTheme="minorEastAsia"/>
          <w:color w:val="000000"/>
          <w:sz w:val="24"/>
        </w:rPr>
        <w:t>带</w:t>
      </w:r>
      <w:r>
        <w:rPr>
          <w:rFonts w:hint="eastAsia" w:cs="Arial" w:asciiTheme="minorEastAsia" w:hAnsiTheme="minorEastAsia"/>
          <w:color w:val="000000"/>
          <w:sz w:val="24"/>
        </w:rPr>
        <w:t>审核</w:t>
      </w:r>
      <w:r>
        <w:rPr>
          <w:rFonts w:cs="Arial" w:asciiTheme="minorEastAsia" w:hAnsiTheme="minorEastAsia"/>
          <w:color w:val="000000"/>
          <w:sz w:val="24"/>
        </w:rPr>
        <w:t>资料：</w:t>
      </w:r>
      <w:r>
        <w:rPr>
          <w:rFonts w:hint="eastAsia" w:cs="Arial" w:asciiTheme="minorEastAsia" w:hAnsiTheme="minorEastAsia"/>
          <w:color w:val="000000"/>
          <w:sz w:val="24"/>
        </w:rPr>
        <w:t>营业执照</w:t>
      </w:r>
      <w:r>
        <w:rPr>
          <w:rFonts w:cs="Arial" w:asciiTheme="minorEastAsia" w:hAnsiTheme="minorEastAsia"/>
          <w:color w:val="000000"/>
          <w:sz w:val="24"/>
        </w:rPr>
        <w:t>副本</w:t>
      </w:r>
      <w:r>
        <w:rPr>
          <w:rFonts w:hint="eastAsia" w:cs="Arial" w:asciiTheme="minorEastAsia" w:hAnsiTheme="minorEastAsia"/>
          <w:color w:val="000000"/>
          <w:sz w:val="24"/>
        </w:rPr>
        <w:t>复印件</w:t>
      </w:r>
      <w:r>
        <w:rPr>
          <w:rFonts w:cs="Arial" w:asciiTheme="minorEastAsia" w:hAnsiTheme="minorEastAsia"/>
          <w:color w:val="000000"/>
          <w:sz w:val="24"/>
        </w:rPr>
        <w:t>加盖公章、法人</w:t>
      </w:r>
      <w:r>
        <w:rPr>
          <w:rFonts w:hint="eastAsia" w:cs="Arial" w:asciiTheme="minorEastAsia" w:hAnsiTheme="minorEastAsia"/>
          <w:color w:val="000000"/>
          <w:sz w:val="24"/>
        </w:rPr>
        <w:t>委托书、</w:t>
      </w:r>
      <w:r>
        <w:rPr>
          <w:rFonts w:cs="Arial" w:asciiTheme="minorEastAsia" w:hAnsiTheme="minorEastAsia"/>
          <w:color w:val="000000"/>
          <w:sz w:val="24"/>
        </w:rPr>
        <w:t>经办人身份证</w:t>
      </w:r>
      <w:r>
        <w:rPr>
          <w:rFonts w:hint="eastAsia" w:cs="Arial" w:asciiTheme="minorEastAsia" w:hAnsiTheme="minorEastAsia"/>
          <w:color w:val="000000"/>
          <w:sz w:val="24"/>
        </w:rPr>
        <w:t>及</w:t>
      </w:r>
      <w:r>
        <w:rPr>
          <w:rFonts w:cs="Arial" w:asciiTheme="minorEastAsia" w:hAnsiTheme="minorEastAsia"/>
          <w:color w:val="000000"/>
          <w:sz w:val="24"/>
        </w:rPr>
        <w:t>复印件加盖公章</w:t>
      </w:r>
      <w:r>
        <w:rPr>
          <w:rFonts w:hint="eastAsia" w:cs="Arial" w:asciiTheme="minorEastAsia" w:hAnsiTheme="minorEastAsia"/>
          <w:color w:val="000000"/>
          <w:sz w:val="24"/>
        </w:rPr>
        <w:t>。</w:t>
      </w:r>
    </w:p>
    <w:p w14:paraId="1CA553FD">
      <w:pPr>
        <w:tabs>
          <w:tab w:val="left" w:pos="720"/>
        </w:tabs>
        <w:snapToGrid w:val="0"/>
        <w:spacing w:line="360" w:lineRule="auto"/>
        <w:ind w:firstLine="480" w:firstLineChars="200"/>
        <w:rPr>
          <w:rFonts w:cs="Arial" w:asciiTheme="minorEastAsia" w:hAnsiTheme="minorEastAsia"/>
          <w:color w:val="000000"/>
          <w:sz w:val="24"/>
        </w:rPr>
      </w:pPr>
      <w:r>
        <w:rPr>
          <w:rFonts w:hint="eastAsia" w:cs="Arial" w:asciiTheme="minorEastAsia" w:hAnsiTheme="minorEastAsia"/>
          <w:color w:val="000000"/>
          <w:sz w:val="24"/>
        </w:rPr>
        <w:t>报名领采购文件地点：广州市实验外语学校总务处8107室</w:t>
      </w:r>
      <w:r>
        <w:rPr>
          <w:rFonts w:cs="Arial" w:asciiTheme="minorEastAsia" w:hAnsiTheme="minorEastAsia"/>
          <w:color w:val="000000"/>
          <w:sz w:val="24"/>
        </w:rPr>
        <w:t xml:space="preserve"> </w:t>
      </w:r>
    </w:p>
    <w:p w14:paraId="57864745">
      <w:pPr>
        <w:tabs>
          <w:tab w:val="left" w:pos="720"/>
        </w:tabs>
        <w:snapToGrid w:val="0"/>
        <w:spacing w:line="360" w:lineRule="auto"/>
        <w:ind w:firstLine="480" w:firstLineChars="200"/>
        <w:rPr>
          <w:rFonts w:cs="Arial" w:asciiTheme="minorEastAsia" w:hAnsiTheme="minorEastAsia"/>
          <w:color w:val="000000"/>
          <w:sz w:val="24"/>
        </w:rPr>
      </w:pPr>
      <w:r>
        <w:rPr>
          <w:rFonts w:hint="eastAsia" w:cs="Arial" w:asciiTheme="minorEastAsia" w:hAnsiTheme="minorEastAsia"/>
          <w:color w:val="000000"/>
          <w:sz w:val="24"/>
        </w:rPr>
        <w:t>报名领取采购文件时间：</w:t>
      </w:r>
      <w:r>
        <w:rPr>
          <w:rFonts w:cs="Arial" w:asciiTheme="minorEastAsia" w:hAnsiTheme="minorEastAsia"/>
          <w:color w:val="000000"/>
          <w:sz w:val="24"/>
        </w:rPr>
        <w:t>2025</w:t>
      </w:r>
      <w:r>
        <w:rPr>
          <w:rFonts w:hint="eastAsia" w:cs="Arial" w:asciiTheme="minorEastAsia" w:hAnsiTheme="minorEastAsia"/>
          <w:color w:val="000000"/>
          <w:sz w:val="24"/>
        </w:rPr>
        <w:t>年</w:t>
      </w:r>
      <w:r>
        <w:rPr>
          <w:rFonts w:cs="Arial" w:asciiTheme="minorEastAsia" w:hAnsiTheme="minorEastAsia"/>
          <w:color w:val="000000"/>
          <w:sz w:val="24"/>
        </w:rPr>
        <w:t xml:space="preserve"> 11</w:t>
      </w:r>
      <w:r>
        <w:rPr>
          <w:rFonts w:hint="eastAsia" w:cs="Arial" w:asciiTheme="minorEastAsia" w:hAnsiTheme="minorEastAsia"/>
          <w:color w:val="000000"/>
          <w:sz w:val="24"/>
        </w:rPr>
        <w:t>月1</w:t>
      </w:r>
      <w:r>
        <w:rPr>
          <w:rFonts w:cs="Arial" w:asciiTheme="minorEastAsia" w:hAnsiTheme="minorEastAsia"/>
          <w:color w:val="000000"/>
          <w:sz w:val="24"/>
        </w:rPr>
        <w:t xml:space="preserve">1 </w:t>
      </w:r>
      <w:r>
        <w:rPr>
          <w:rFonts w:hint="eastAsia" w:cs="Arial" w:asciiTheme="minorEastAsia" w:hAnsiTheme="minorEastAsia"/>
          <w:color w:val="000000"/>
          <w:sz w:val="24"/>
        </w:rPr>
        <w:t>日-</w:t>
      </w:r>
      <w:r>
        <w:rPr>
          <w:rFonts w:cs="Arial" w:asciiTheme="minorEastAsia" w:hAnsiTheme="minorEastAsia"/>
          <w:color w:val="000000"/>
          <w:sz w:val="24"/>
        </w:rPr>
        <w:t>2025</w:t>
      </w:r>
      <w:r>
        <w:rPr>
          <w:rFonts w:hint="eastAsia" w:cs="Arial" w:asciiTheme="minorEastAsia" w:hAnsiTheme="minorEastAsia"/>
          <w:color w:val="000000"/>
          <w:sz w:val="24"/>
        </w:rPr>
        <w:t>年</w:t>
      </w:r>
      <w:r>
        <w:rPr>
          <w:rFonts w:cs="Arial" w:asciiTheme="minorEastAsia" w:hAnsiTheme="minorEastAsia"/>
          <w:color w:val="000000"/>
          <w:sz w:val="24"/>
        </w:rPr>
        <w:t xml:space="preserve"> 11 </w:t>
      </w:r>
      <w:r>
        <w:rPr>
          <w:rFonts w:hint="eastAsia" w:cs="Arial" w:asciiTheme="minorEastAsia" w:hAnsiTheme="minorEastAsia"/>
          <w:color w:val="000000"/>
          <w:sz w:val="24"/>
        </w:rPr>
        <w:t>月</w:t>
      </w:r>
      <w:r>
        <w:rPr>
          <w:rFonts w:cs="Arial" w:asciiTheme="minorEastAsia" w:hAnsiTheme="minorEastAsia"/>
          <w:color w:val="000000"/>
          <w:sz w:val="24"/>
        </w:rPr>
        <w:t xml:space="preserve"> 18 </w:t>
      </w:r>
      <w:r>
        <w:rPr>
          <w:rFonts w:hint="eastAsia" w:cs="Arial" w:asciiTheme="minorEastAsia" w:hAnsiTheme="minorEastAsia"/>
          <w:color w:val="000000"/>
          <w:sz w:val="24"/>
        </w:rPr>
        <w:t>日（上班时间：8：0</w:t>
      </w:r>
      <w:r>
        <w:rPr>
          <w:rFonts w:cs="Arial" w:asciiTheme="minorEastAsia" w:hAnsiTheme="minorEastAsia"/>
          <w:color w:val="000000"/>
          <w:sz w:val="24"/>
        </w:rPr>
        <w:t>0</w:t>
      </w:r>
      <w:r>
        <w:rPr>
          <w:rFonts w:hint="eastAsia" w:cs="Arial" w:asciiTheme="minorEastAsia" w:hAnsiTheme="minorEastAsia"/>
          <w:color w:val="000000"/>
          <w:sz w:val="24"/>
        </w:rPr>
        <w:t>-</w:t>
      </w:r>
      <w:r>
        <w:rPr>
          <w:rFonts w:cs="Arial" w:asciiTheme="minorEastAsia" w:hAnsiTheme="minorEastAsia"/>
          <w:color w:val="000000"/>
          <w:sz w:val="24"/>
        </w:rPr>
        <w:t>12</w:t>
      </w:r>
      <w:r>
        <w:rPr>
          <w:rFonts w:hint="eastAsia" w:cs="Arial" w:asciiTheme="minorEastAsia" w:hAnsiTheme="minorEastAsia"/>
          <w:color w:val="000000"/>
          <w:sz w:val="24"/>
        </w:rPr>
        <w:t>：0</w:t>
      </w:r>
      <w:r>
        <w:rPr>
          <w:rFonts w:cs="Arial" w:asciiTheme="minorEastAsia" w:hAnsiTheme="minorEastAsia"/>
          <w:color w:val="000000"/>
          <w:sz w:val="24"/>
        </w:rPr>
        <w:t>0</w:t>
      </w:r>
      <w:r>
        <w:rPr>
          <w:rFonts w:hint="eastAsia" w:cs="Arial" w:asciiTheme="minorEastAsia" w:hAnsiTheme="minorEastAsia"/>
          <w:color w:val="000000"/>
          <w:sz w:val="24"/>
        </w:rPr>
        <w:t>、1</w:t>
      </w:r>
      <w:r>
        <w:rPr>
          <w:rFonts w:cs="Arial" w:asciiTheme="minorEastAsia" w:hAnsiTheme="minorEastAsia"/>
          <w:color w:val="000000"/>
          <w:sz w:val="24"/>
        </w:rPr>
        <w:t>4</w:t>
      </w:r>
      <w:r>
        <w:rPr>
          <w:rFonts w:hint="eastAsia" w:cs="Arial" w:asciiTheme="minorEastAsia" w:hAnsiTheme="minorEastAsia"/>
          <w:color w:val="000000"/>
          <w:sz w:val="24"/>
        </w:rPr>
        <w:t>：3</w:t>
      </w:r>
      <w:r>
        <w:rPr>
          <w:rFonts w:cs="Arial" w:asciiTheme="minorEastAsia" w:hAnsiTheme="minorEastAsia"/>
          <w:color w:val="000000"/>
          <w:sz w:val="24"/>
        </w:rPr>
        <w:t>0</w:t>
      </w:r>
      <w:r>
        <w:rPr>
          <w:rFonts w:hint="eastAsia" w:cs="Arial" w:asciiTheme="minorEastAsia" w:hAnsiTheme="minorEastAsia"/>
          <w:color w:val="000000"/>
          <w:sz w:val="24"/>
        </w:rPr>
        <w:t>-</w:t>
      </w:r>
      <w:r>
        <w:rPr>
          <w:rFonts w:cs="Arial" w:asciiTheme="minorEastAsia" w:hAnsiTheme="minorEastAsia"/>
          <w:color w:val="000000"/>
          <w:sz w:val="24"/>
        </w:rPr>
        <w:t>17</w:t>
      </w:r>
      <w:r>
        <w:rPr>
          <w:rFonts w:hint="eastAsia" w:cs="Arial" w:asciiTheme="minorEastAsia" w:hAnsiTheme="minorEastAsia"/>
          <w:color w:val="000000"/>
          <w:sz w:val="24"/>
        </w:rPr>
        <w:t>：3</w:t>
      </w:r>
      <w:r>
        <w:rPr>
          <w:rFonts w:cs="Arial" w:asciiTheme="minorEastAsia" w:hAnsiTheme="minorEastAsia"/>
          <w:color w:val="000000"/>
          <w:sz w:val="24"/>
        </w:rPr>
        <w:t>0</w:t>
      </w:r>
      <w:r>
        <w:rPr>
          <w:rFonts w:hint="eastAsia" w:cs="Arial" w:asciiTheme="minorEastAsia" w:hAnsiTheme="minorEastAsia"/>
          <w:color w:val="000000"/>
          <w:sz w:val="24"/>
        </w:rPr>
        <w:t>）法定节假日除外</w:t>
      </w:r>
    </w:p>
    <w:p w14:paraId="1C253418">
      <w:pPr>
        <w:pStyle w:val="8"/>
        <w:widowControl/>
        <w:numPr>
          <w:ilvl w:val="0"/>
          <w:numId w:val="1"/>
        </w:numPr>
        <w:shd w:val="clear" w:color="auto" w:fill="FFFFFF"/>
        <w:spacing w:line="360" w:lineRule="auto"/>
        <w:ind w:right="-340" w:rightChars="-162" w:firstLineChars="0"/>
        <w:jc w:val="left"/>
        <w:rPr>
          <w:rFonts w:asciiTheme="minorEastAsia" w:hAnsiTheme="minorEastAsia"/>
          <w:sz w:val="24"/>
        </w:rPr>
      </w:pPr>
      <w:r>
        <w:rPr>
          <w:rFonts w:hint="eastAsia" w:ascii="宋体" w:hAnsi="宋体" w:eastAsia="宋体" w:cs="Arial"/>
          <w:bCs/>
          <w:kern w:val="0"/>
          <w:sz w:val="24"/>
        </w:rPr>
        <w:t xml:space="preserve">比选时间及联系人 </w:t>
      </w:r>
    </w:p>
    <w:p w14:paraId="3BD085FC">
      <w:pPr>
        <w:spacing w:line="360" w:lineRule="auto"/>
        <w:ind w:firstLine="570"/>
        <w:rPr>
          <w:rFonts w:cs="Times New Roman" w:asciiTheme="minorEastAsia" w:hAnsiTheme="minorEastAsia"/>
          <w:sz w:val="24"/>
        </w:rPr>
      </w:pPr>
      <w:r>
        <w:rPr>
          <w:rFonts w:hint="eastAsia" w:cs="Times New Roman" w:asciiTheme="minorEastAsia" w:hAnsiTheme="minorEastAsia"/>
          <w:sz w:val="24"/>
        </w:rPr>
        <w:t>比选开启时间：2025年1</w:t>
      </w:r>
      <w:r>
        <w:rPr>
          <w:rFonts w:cs="Times New Roman" w:asciiTheme="minorEastAsia" w:hAnsiTheme="minorEastAsia"/>
          <w:sz w:val="24"/>
        </w:rPr>
        <w:t>1</w:t>
      </w:r>
      <w:r>
        <w:rPr>
          <w:rFonts w:hint="eastAsia" w:cs="Times New Roman" w:asciiTheme="minorEastAsia" w:hAnsiTheme="minorEastAsia"/>
          <w:sz w:val="24"/>
        </w:rPr>
        <w:t>月</w:t>
      </w:r>
      <w:r>
        <w:rPr>
          <w:rFonts w:cs="Times New Roman" w:asciiTheme="minorEastAsia" w:hAnsiTheme="minorEastAsia"/>
          <w:sz w:val="24"/>
        </w:rPr>
        <w:t xml:space="preserve"> 19</w:t>
      </w:r>
      <w:r>
        <w:rPr>
          <w:rFonts w:hint="eastAsia" w:cs="Times New Roman" w:asciiTheme="minorEastAsia" w:hAnsiTheme="minorEastAsia"/>
          <w:sz w:val="24"/>
        </w:rPr>
        <w:t>日上午9：3</w:t>
      </w:r>
      <w:r>
        <w:rPr>
          <w:rFonts w:cs="Times New Roman" w:asciiTheme="minorEastAsia" w:hAnsiTheme="minorEastAsia"/>
          <w:sz w:val="24"/>
        </w:rPr>
        <w:t xml:space="preserve">0 </w:t>
      </w:r>
      <w:r>
        <w:rPr>
          <w:rFonts w:hint="eastAsia" w:cs="Times New Roman" w:asciiTheme="minorEastAsia" w:hAnsiTheme="minorEastAsia"/>
          <w:sz w:val="24"/>
        </w:rPr>
        <w:t xml:space="preserve"> </w:t>
      </w:r>
    </w:p>
    <w:p w14:paraId="7B2557E0">
      <w:pPr>
        <w:spacing w:line="360" w:lineRule="auto"/>
        <w:ind w:firstLine="570"/>
        <w:rPr>
          <w:rFonts w:cs="Times New Roman" w:asciiTheme="minorEastAsia" w:hAnsiTheme="minorEastAsia"/>
          <w:sz w:val="24"/>
        </w:rPr>
      </w:pPr>
      <w:r>
        <w:rPr>
          <w:rFonts w:hint="eastAsia" w:cs="Times New Roman" w:asciiTheme="minorEastAsia" w:hAnsiTheme="minorEastAsia"/>
          <w:sz w:val="24"/>
        </w:rPr>
        <w:t>比选地点： 广州市实验外语学校党建办公室</w:t>
      </w:r>
    </w:p>
    <w:p w14:paraId="0F6B4AED">
      <w:pPr>
        <w:spacing w:line="360" w:lineRule="auto"/>
        <w:ind w:firstLine="570"/>
        <w:rPr>
          <w:rFonts w:cs="Times New Roman" w:asciiTheme="minorEastAsia" w:hAnsiTheme="minorEastAsia"/>
          <w:sz w:val="24"/>
        </w:rPr>
      </w:pPr>
      <w:r>
        <w:rPr>
          <w:rFonts w:hint="eastAsia" w:cs="Times New Roman" w:asciiTheme="minorEastAsia" w:hAnsiTheme="minorEastAsia"/>
          <w:sz w:val="24"/>
        </w:rPr>
        <w:t xml:space="preserve">联 系 人：  陈老师 </w:t>
      </w:r>
      <w:r>
        <w:rPr>
          <w:rFonts w:cs="Times New Roman" w:asciiTheme="minorEastAsia" w:hAnsiTheme="minorEastAsia"/>
          <w:sz w:val="24"/>
        </w:rPr>
        <w:t xml:space="preserve">    </w:t>
      </w:r>
      <w:r>
        <w:rPr>
          <w:rFonts w:hint="eastAsia" w:cs="Times New Roman" w:asciiTheme="minorEastAsia" w:hAnsiTheme="minorEastAsia"/>
          <w:sz w:val="24"/>
        </w:rPr>
        <w:t>联系电话：0</w:t>
      </w:r>
      <w:r>
        <w:rPr>
          <w:rFonts w:cs="Times New Roman" w:asciiTheme="minorEastAsia" w:hAnsiTheme="minorEastAsia"/>
          <w:sz w:val="24"/>
        </w:rPr>
        <w:t>20</w:t>
      </w:r>
      <w:r>
        <w:rPr>
          <w:rFonts w:hint="eastAsia" w:cs="Times New Roman" w:asciiTheme="minorEastAsia" w:hAnsiTheme="minorEastAsia"/>
          <w:sz w:val="24"/>
        </w:rPr>
        <w:t>-</w:t>
      </w:r>
      <w:r>
        <w:rPr>
          <w:rFonts w:cs="Times New Roman" w:asciiTheme="minorEastAsia" w:hAnsiTheme="minorEastAsia"/>
          <w:sz w:val="24"/>
        </w:rPr>
        <w:t>86248972</w:t>
      </w:r>
    </w:p>
    <w:p w14:paraId="5EF28C6D">
      <w:pPr>
        <w:ind w:firstLine="5760" w:firstLineChars="2400"/>
      </w:pPr>
      <w:r>
        <w:rPr>
          <w:rFonts w:hint="eastAsia" w:cs="Times New Roman" w:asciiTheme="minorEastAsia" w:hAnsiTheme="minorEastAsia"/>
          <w:sz w:val="24"/>
        </w:rPr>
        <w:t>日期：2025 年1</w:t>
      </w:r>
      <w:r>
        <w:rPr>
          <w:rFonts w:cs="Times New Roman" w:asciiTheme="minorEastAsia" w:hAnsiTheme="minorEastAsia"/>
          <w:sz w:val="24"/>
        </w:rPr>
        <w:t xml:space="preserve">1 </w:t>
      </w:r>
      <w:r>
        <w:rPr>
          <w:rFonts w:hint="eastAsia" w:cs="Times New Roman" w:asciiTheme="minorEastAsia" w:hAnsiTheme="minorEastAsia"/>
          <w:sz w:val="24"/>
        </w:rPr>
        <w:t>月1</w:t>
      </w:r>
      <w:r>
        <w:rPr>
          <w:rFonts w:cs="Times New Roman" w:asciiTheme="minorEastAsia" w:hAnsiTheme="minorEastAsia"/>
          <w:sz w:val="24"/>
        </w:rPr>
        <w:t xml:space="preserve">1 </w:t>
      </w:r>
      <w:r>
        <w:rPr>
          <w:rFonts w:hint="eastAsia" w:cs="Times New Roman" w:asciiTheme="minorEastAsia" w:hAnsiTheme="minorEastAsia"/>
          <w:sz w:val="24"/>
        </w:rPr>
        <w:t>日</w:t>
      </w:r>
    </w:p>
    <w:bookmarkEnd w:id="6"/>
    <w:p w14:paraId="2ED97255"/>
    <w:p w14:paraId="2207E200"/>
    <w:sectPr>
      <w:footerReference r:id="rId3" w:type="default"/>
      <w:pgSz w:w="11906" w:h="16838"/>
      <w:pgMar w:top="1191" w:right="1588" w:bottom="68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022282"/>
      <w:docPartObj>
        <w:docPartGallery w:val="AutoText"/>
      </w:docPartObj>
    </w:sdtPr>
    <w:sdtContent>
      <w:p w14:paraId="4828F906">
        <w:pPr>
          <w:pStyle w:val="3"/>
          <w:jc w:val="right"/>
        </w:pPr>
        <w:r>
          <w:fldChar w:fldCharType="begin"/>
        </w:r>
        <w:r>
          <w:instrText xml:space="preserve">PAGE   \* MERGEFORMAT</w:instrText>
        </w:r>
        <w:r>
          <w:fldChar w:fldCharType="separate"/>
        </w:r>
        <w:r>
          <w:rPr>
            <w:lang w:val="zh-CN"/>
          </w:rPr>
          <w:t>3</w:t>
        </w:r>
        <w:r>
          <w:fldChar w:fldCharType="end"/>
        </w:r>
      </w:p>
    </w:sdtContent>
  </w:sdt>
  <w:p w14:paraId="4C144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1E8"/>
    <w:multiLevelType w:val="multilevel"/>
    <w:tmpl w:val="042231E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1E"/>
    <w:rsid w:val="00004E17"/>
    <w:rsid w:val="000206C1"/>
    <w:rsid w:val="0002471E"/>
    <w:rsid w:val="00041986"/>
    <w:rsid w:val="0004231E"/>
    <w:rsid w:val="00065704"/>
    <w:rsid w:val="000B2306"/>
    <w:rsid w:val="000C194F"/>
    <w:rsid w:val="000F6CDB"/>
    <w:rsid w:val="0012148F"/>
    <w:rsid w:val="0014067B"/>
    <w:rsid w:val="00147EBB"/>
    <w:rsid w:val="00180698"/>
    <w:rsid w:val="001B023D"/>
    <w:rsid w:val="001C5F85"/>
    <w:rsid w:val="00236161"/>
    <w:rsid w:val="00266672"/>
    <w:rsid w:val="002C49E0"/>
    <w:rsid w:val="002E6AA3"/>
    <w:rsid w:val="002E6D8D"/>
    <w:rsid w:val="00302541"/>
    <w:rsid w:val="00302ED4"/>
    <w:rsid w:val="00304338"/>
    <w:rsid w:val="0035515D"/>
    <w:rsid w:val="00374A3F"/>
    <w:rsid w:val="0039427F"/>
    <w:rsid w:val="003B6CA4"/>
    <w:rsid w:val="003C4A3D"/>
    <w:rsid w:val="003E5FE3"/>
    <w:rsid w:val="0041078B"/>
    <w:rsid w:val="004C3C9C"/>
    <w:rsid w:val="00531C5B"/>
    <w:rsid w:val="00591CF8"/>
    <w:rsid w:val="006379CE"/>
    <w:rsid w:val="00670B88"/>
    <w:rsid w:val="00697D0B"/>
    <w:rsid w:val="006F3F93"/>
    <w:rsid w:val="00765424"/>
    <w:rsid w:val="00780A5D"/>
    <w:rsid w:val="007A543F"/>
    <w:rsid w:val="007A5D12"/>
    <w:rsid w:val="007D49B5"/>
    <w:rsid w:val="008450C3"/>
    <w:rsid w:val="0086345D"/>
    <w:rsid w:val="008C7B09"/>
    <w:rsid w:val="008F0293"/>
    <w:rsid w:val="00964CF5"/>
    <w:rsid w:val="009D0934"/>
    <w:rsid w:val="009E7991"/>
    <w:rsid w:val="00A64799"/>
    <w:rsid w:val="00A76E84"/>
    <w:rsid w:val="00A80317"/>
    <w:rsid w:val="00B056F5"/>
    <w:rsid w:val="00B66660"/>
    <w:rsid w:val="00B7208E"/>
    <w:rsid w:val="00B90825"/>
    <w:rsid w:val="00C04831"/>
    <w:rsid w:val="00C45471"/>
    <w:rsid w:val="00C47ABD"/>
    <w:rsid w:val="00CA7A4F"/>
    <w:rsid w:val="00E6237C"/>
    <w:rsid w:val="00E800C3"/>
    <w:rsid w:val="00E94BFE"/>
    <w:rsid w:val="00EB072D"/>
    <w:rsid w:val="00EF63A7"/>
    <w:rsid w:val="00F12A41"/>
    <w:rsid w:val="00F44A5A"/>
    <w:rsid w:val="00F53E4E"/>
    <w:rsid w:val="00F66DA1"/>
    <w:rsid w:val="00FA1E91"/>
    <w:rsid w:val="00FA71BE"/>
    <w:rsid w:val="00FE7FA4"/>
    <w:rsid w:val="2C09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脚 字符"/>
    <w:basedOn w:val="7"/>
    <w:link w:val="3"/>
    <w:qFormat/>
    <w:uiPriority w:val="99"/>
    <w:rPr>
      <w:sz w:val="18"/>
      <w:szCs w:val="18"/>
    </w:rPr>
  </w:style>
  <w:style w:type="table" w:customStyle="1" w:styleId="10">
    <w:name w:val="网格型21"/>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字符"/>
    <w:basedOn w:val="7"/>
    <w:link w:val="4"/>
    <w:qFormat/>
    <w:uiPriority w:val="99"/>
    <w:rPr>
      <w:sz w:val="18"/>
      <w:szCs w:val="18"/>
    </w:r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3769</Words>
  <Characters>3956</Characters>
  <Lines>30</Lines>
  <Paragraphs>8</Paragraphs>
  <TotalTime>3845</TotalTime>
  <ScaleCrop>false</ScaleCrop>
  <LinksUpToDate>false</LinksUpToDate>
  <CharactersWithSpaces>4116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2025-10-14T14:29:00Z</dcterms:created>
  <dc:creator>User</dc:creator>
  <cp:lastModifiedBy>習習</cp:lastModifiedBy>
  <cp:lastPrinted>2025-11-07T07:24:00Z</cp:lastPrinted>
  <dcterms:modified xsi:type="dcterms:W3CDTF">2025-11-11T02:04:15Z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B976AC418CF440ABB5D64F71D567DB9C_13</vt:lpwstr>
  </property>
</Properties>
</file>